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header5.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styles.xml" ContentType="application/vnd.openxmlformats-officedocument.wordprocessingml.styles+xml"/>
  <Override PartName="/word/footer4.xml" ContentType="application/vnd.openxmlformats-officedocument.wordprocessingml.foot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pPr>
      <w:r>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color w:val="000000"/>
          <w:sz w:val="24"/>
          <w:szCs w:val="24"/>
        </w:rPr>
      </w:pPr>
      <w:r>
        <w:rPr>
          <w:b/>
          <w:bCs/>
          <w:color w:val="000000"/>
          <w:sz w:val="24"/>
          <w:szCs w:val="24"/>
        </w:rPr>
        <w:t xml:space="preserve"> </w:t>
      </w:r>
      <w:r>
        <w:rPr>
          <w:bCs/>
          <w:color w:val="000000"/>
          <w:sz w:val="24"/>
          <w:szCs w:val="24"/>
        </w:rPr>
        <w:tab/>
        <w:tab/>
        <w:tab/>
        <w:tab/>
      </w:r>
    </w:p>
    <w:p>
      <w:pPr>
        <w:pStyle w:val="Normal"/>
        <w:shd w:val="clear" w:color="auto" w:fill="FFFFFF"/>
        <w:tabs>
          <w:tab w:val="clear" w:pos="708"/>
          <w:tab w:val="left" w:pos="3148" w:leader="none"/>
          <w:tab w:val="center" w:pos="4818" w:leader="none"/>
          <w:tab w:val="left" w:pos="6926" w:leader="none"/>
        </w:tabs>
        <w:spacing w:lineRule="auto" w:line="240"/>
        <w:ind w:hanging="0"/>
        <w:jc w:val="right"/>
        <w:rPr>
          <w:b/>
          <w:bCs/>
          <w:color w:val="000000"/>
          <w:sz w:val="24"/>
          <w:szCs w:val="24"/>
        </w:rPr>
      </w:pPr>
      <w:r>
        <w:rPr>
          <w:b/>
          <w:bCs/>
          <w:color w:val="000000"/>
          <w:sz w:val="24"/>
          <w:szCs w:val="24"/>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Cs/>
          <w:color w:val="000000"/>
          <w:sz w:val="24"/>
          <w:szCs w:val="24"/>
        </w:rPr>
      </w:pPr>
      <w:r>
        <w:rPr>
          <w:b/>
          <w:bCs/>
          <w:color w:val="000000"/>
          <w:sz w:val="24"/>
          <w:szCs w:val="24"/>
        </w:rPr>
        <w:t xml:space="preserve">Договор подряда </w:t>
      </w:r>
    </w:p>
    <w:p>
      <w:pPr>
        <w:pStyle w:val="Normal"/>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на выполнение проектно-изыскательских работ № ____</w:t>
      </w:r>
    </w:p>
    <w:p>
      <w:pPr>
        <w:pStyle w:val="Normal"/>
        <w:spacing w:lineRule="auto" w:line="240"/>
        <w:ind w:hanging="0"/>
        <w:rPr>
          <w:b/>
          <w:bCs/>
          <w:color w:val="000000"/>
          <w:sz w:val="24"/>
          <w:szCs w:val="24"/>
        </w:rPr>
      </w:pPr>
      <w:r>
        <w:rPr>
          <w:b/>
          <w:bCs/>
          <w:color w:val="000000"/>
          <w:sz w:val="24"/>
          <w:szCs w:val="24"/>
        </w:rPr>
      </w:r>
    </w:p>
    <w:p>
      <w:pPr>
        <w:pStyle w:val="Normal"/>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Pr>
          <w:bCs/>
          <w:color w:val="auto"/>
        </w:rPr>
        <w:t>,</w:t>
      </w:r>
      <w:r>
        <w:rPr/>
        <w:t xml:space="preserve"> </w:t>
      </w:r>
      <w:r>
        <w:rPr>
          <w:color w:val="auto"/>
          <w:lang w:val="ru-RU"/>
        </w:rPr>
        <w:t>и</w:t>
      </w:r>
      <w:r>
        <w:rPr>
          <w:lang w:val="ru-RU"/>
        </w:rPr>
        <w:t xml:space="preserve"> </w:t>
      </w:r>
      <w:r>
        <w:rPr>
          <w:bCs/>
          <w:color w:val="auto"/>
        </w:rPr>
        <w:t xml:space="preserve">на основании </w:t>
      </w:r>
      <w:r>
        <w:rPr>
          <w:bCs/>
          <w:color w:val="auto"/>
          <w:lang w:val="ru-RU"/>
        </w:rPr>
        <w:t>протокола</w:t>
      </w:r>
      <w:r>
        <w:rPr>
          <w:bCs/>
          <w:color w:val="auto"/>
        </w:rPr>
        <w:t xml:space="preserve"> </w:t>
      </w:r>
      <w:r>
        <w:rPr>
          <w:color w:val="auto"/>
        </w:rPr>
        <w:t>о результатах</w:t>
      </w:r>
      <w:r>
        <w:rPr>
          <w:bCs/>
          <w:color w:val="auto"/>
        </w:rPr>
        <w:t xml:space="preserve"> </w:t>
      </w:r>
      <w:r>
        <w:rPr>
          <w:bCs/>
          <w:color w:val="auto"/>
          <w:lang w:val="ru-RU"/>
        </w:rPr>
        <w:t>__________</w:t>
      </w:r>
      <w:r>
        <w:rPr>
          <w:bCs/>
          <w:color w:val="auto"/>
        </w:rPr>
        <w:t xml:space="preserve"> №_______ от «___»__________ года</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ListParagraph"/>
        <w:tabs>
          <w:tab w:val="clear" w:pos="708"/>
          <w:tab w:val="left" w:pos="284" w:leader="none"/>
        </w:tabs>
        <w:ind w:left="0" w:hanging="0"/>
        <w:jc w:val="center"/>
        <w:rPr>
          <w:b/>
          <w:bCs/>
        </w:rPr>
      </w:pPr>
      <w:r>
        <w:rPr>
          <w:b/>
          <w:bCs/>
        </w:rPr>
      </w:r>
    </w:p>
    <w:p>
      <w:pPr>
        <w:pStyle w:val="ListParagraph"/>
        <w:tabs>
          <w:tab w:val="clear" w:pos="708"/>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8"/>
          <w:tab w:val="left" w:pos="567" w:leader="none"/>
          <w:tab w:val="left" w:pos="1134" w:leader="none"/>
        </w:tabs>
        <w:overflowPunct w:val="true"/>
        <w:spacing w:lineRule="auto" w:line="240"/>
        <w:ind w:left="0" w:firstLine="708"/>
        <w:jc w:val="both"/>
        <w:textAlignment w:val="baseline"/>
        <w:rPr>
          <w:highlight w:val="none"/>
          <w:shd w:fill="auto" w:val="clear"/>
        </w:rPr>
      </w:pPr>
      <w:r>
        <w:rPr>
          <w:b/>
          <w:bCs w:val="false"/>
          <w:color w:val="000000"/>
          <w:sz w:val="24"/>
          <w:szCs w:val="26"/>
          <w:shd w:fill="auto" w:val="clear"/>
          <w:lang w:val="ru-RU" w:eastAsia="en-US"/>
        </w:rPr>
        <w:t xml:space="preserve">«Независимая гарантия» </w:t>
      </w:r>
      <w:r>
        <w:rPr>
          <w:b w:val="false"/>
          <w:bCs w:val="false"/>
          <w:color w:val="000000"/>
          <w:sz w:val="24"/>
          <w:szCs w:val="26"/>
          <w:shd w:fill="auto" w:val="clear"/>
          <w:lang w:val="ru-RU" w:eastAsia="en-US"/>
        </w:rPr>
        <w:t>–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 xml:space="preserve">«ГПЗУ» </w:t>
      </w:r>
      <w:r>
        <w:rPr>
          <w:lang w:eastAsia="en-US"/>
        </w:rPr>
        <w:t>– градостроительный план земельного участка.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spacing w:lineRule="auto" w:line="240"/>
        <w:ind w:firstLine="709"/>
        <w:rPr>
          <w:sz w:val="24"/>
          <w:szCs w:val="24"/>
        </w:rPr>
      </w:pPr>
      <w:r>
        <w:rPr>
          <w:b/>
          <w:sz w:val="24"/>
          <w:szCs w:val="24"/>
        </w:rPr>
        <w:t>«Инженерные изыскания»</w:t>
      </w:r>
      <w:r>
        <w:rPr>
          <w:sz w:val="24"/>
          <w:szCs w:val="24"/>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pPr>
        <w:pStyle w:val="Normal"/>
        <w:spacing w:lineRule="auto" w:line="240"/>
        <w:ind w:firstLine="709"/>
        <w:rPr>
          <w:sz w:val="24"/>
          <w:szCs w:val="24"/>
        </w:rPr>
      </w:pPr>
      <w:r>
        <w:rPr>
          <w:b/>
          <w:sz w:val="24"/>
          <w:szCs w:val="24"/>
        </w:rPr>
        <w:t xml:space="preserve">«Исполнительная смета» </w:t>
      </w:r>
      <w:r>
        <w:rPr>
          <w:sz w:val="24"/>
          <w:szCs w:val="24"/>
          <w:lang w:eastAsia="en-US"/>
        </w:rPr>
        <w:t>–</w:t>
      </w:r>
      <w:r>
        <w:rPr>
          <w:sz w:val="24"/>
          <w:szCs w:val="24"/>
        </w:rPr>
        <w:t xml:space="preserve"> с</w:t>
      </w:r>
      <w:r>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pPr>
        <w:pStyle w:val="ListParagraph"/>
        <w:widowControl w:val="false"/>
        <w:shd w:val="clear" w:color="auto" w:fill="FFFFFF"/>
        <w:tabs>
          <w:tab w:val="clear" w:pos="708"/>
          <w:tab w:val="left" w:pos="567" w:leader="none"/>
          <w:tab w:val="left" w:pos="1134" w:leader="none"/>
        </w:tabs>
        <w:ind w:left="0" w:firstLine="709"/>
        <w:jc w:val="both"/>
        <w:textAlignment w:val="baseline"/>
        <w:rPr>
          <w:lang w:eastAsia="en-US"/>
        </w:rPr>
      </w:pPr>
      <w:r>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pPr>
        <w:pStyle w:val="Normal"/>
        <w:widowControl w:val="false"/>
        <w:shd w:val="clear" w:color="auto" w:fill="FFFFFF"/>
        <w:tabs>
          <w:tab w:val="clear" w:pos="708"/>
          <w:tab w:val="left" w:pos="567" w:leader="none"/>
          <w:tab w:val="left" w:pos="1134" w:leader="none"/>
        </w:tabs>
        <w:spacing w:lineRule="auto" w:line="240"/>
        <w:ind w:firstLine="709"/>
        <w:textAlignment w:val="baseline"/>
        <w:rPr>
          <w:sz w:val="24"/>
          <w:szCs w:val="24"/>
          <w:lang w:eastAsia="en-US"/>
        </w:rPr>
      </w:pPr>
      <w:r>
        <w:rPr>
          <w:sz w:val="24"/>
          <w:szCs w:val="24"/>
          <w:lang w:eastAsia="en-US"/>
        </w:rPr>
        <w:t>К Исходно-разрешительной документации относятся:</w:t>
      </w:r>
    </w:p>
    <w:p>
      <w:pPr>
        <w:pStyle w:val="ListParagraph"/>
        <w:widowControl w:val="false"/>
        <w:numPr>
          <w:ilvl w:val="0"/>
          <w:numId w:val="21"/>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pPr>
        <w:pStyle w:val="ListParagraph"/>
        <w:widowControl w:val="false"/>
        <w:numPr>
          <w:ilvl w:val="0"/>
          <w:numId w:val="21"/>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технические условия на подключение к инженерным сетям и / или коммуникациям;</w:t>
      </w:r>
    </w:p>
    <w:p>
      <w:pPr>
        <w:pStyle w:val="ListParagraph"/>
        <w:widowControl w:val="false"/>
        <w:numPr>
          <w:ilvl w:val="0"/>
          <w:numId w:val="21"/>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pPr>
        <w:pStyle w:val="ListParagraph"/>
        <w:widowControl w:val="false"/>
        <w:numPr>
          <w:ilvl w:val="0"/>
          <w:numId w:val="21"/>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разрешительные и / или распорядительные документы;</w:t>
      </w:r>
    </w:p>
    <w:p>
      <w:pPr>
        <w:pStyle w:val="ListParagraph"/>
        <w:widowControl w:val="false"/>
        <w:numPr>
          <w:ilvl w:val="0"/>
          <w:numId w:val="21"/>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справки, заключения, согласования.</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b/>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Pr>
          <w:b/>
          <w:lang w:eastAsia="en-US"/>
        </w:rPr>
        <w:t xml:space="preserve">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 xml:space="preserve">«Обеспечительный платеж» </w:t>
      </w:r>
      <w:r>
        <w:rPr>
          <w:lang w:eastAsia="en-US"/>
        </w:rPr>
        <w:t xml:space="preserve">– платеж в размере 10 % (десять процентов) от </w:t>
      </w:r>
      <w:r>
        <w:rPr/>
        <w:t>стоимости каждого Этапа Работ,</w:t>
      </w:r>
      <w:r>
        <w:rPr>
          <w:lang w:eastAsia="en-US"/>
        </w:rPr>
        <w:t xml:space="preserve"> который удерживается Заказчиком в качестве гарантийного резервирования в соответствии с условиями Договора.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Normal"/>
        <w:spacing w:lineRule="auto" w:line="240"/>
        <w:ind w:firstLine="709"/>
        <w:rPr>
          <w:sz w:val="24"/>
          <w:szCs w:val="24"/>
        </w:rPr>
      </w:pPr>
      <w:r>
        <w:rPr>
          <w:b/>
          <w:sz w:val="24"/>
          <w:szCs w:val="24"/>
        </w:rPr>
        <w:t>«Организация по проведению государственной экспертизы»</w:t>
      </w:r>
      <w:r>
        <w:rPr>
          <w:sz w:val="24"/>
          <w:szCs w:val="24"/>
        </w:rPr>
        <w:t xml:space="preserve"> </w:t>
      </w:r>
      <w:r>
        <w:rPr>
          <w:sz w:val="24"/>
          <w:szCs w:val="24"/>
          <w:lang w:eastAsia="en-US"/>
        </w:rPr>
        <w:t>–</w:t>
      </w:r>
      <w:r>
        <w:rPr>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pPr>
        <w:pStyle w:val="Normal"/>
        <w:spacing w:lineRule="auto" w:line="240"/>
        <w:ind w:firstLine="709"/>
        <w:rPr>
          <w:sz w:val="24"/>
          <w:szCs w:val="24"/>
        </w:rPr>
      </w:pPr>
      <w:r>
        <w:rPr>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pPr>
        <w:pStyle w:val="Normal"/>
        <w:spacing w:lineRule="auto" w:line="240"/>
        <w:ind w:firstLine="709"/>
        <w:rPr>
          <w:sz w:val="24"/>
          <w:szCs w:val="24"/>
        </w:rPr>
      </w:pPr>
      <w:r>
        <w:rPr>
          <w:b/>
          <w:sz w:val="24"/>
          <w:szCs w:val="24"/>
        </w:rPr>
        <w:t>«Предварительная смета»</w:t>
      </w:r>
      <w:r>
        <w:rPr>
          <w:sz w:val="24"/>
          <w:szCs w:val="24"/>
        </w:rPr>
        <w:t xml:space="preserve"> </w:t>
      </w:r>
      <w:r>
        <w:rPr>
          <w:sz w:val="24"/>
          <w:szCs w:val="24"/>
          <w:lang w:eastAsia="en-US"/>
        </w:rPr>
        <w:t>–</w:t>
      </w:r>
      <w:r>
        <w:rPr>
          <w:sz w:val="24"/>
          <w:szCs w:val="24"/>
        </w:rPr>
        <w:t xml:space="preserve"> </w:t>
      </w:r>
      <w:r>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t xml:space="preserve"> </w:t>
      </w:r>
      <w:r>
        <w:rPr>
          <w:color w:val="000000"/>
          <w:sz w:val="24"/>
          <w:szCs w:val="24"/>
        </w:rPr>
        <w:t>и подлежащий корректировке в соответствии с фактически выполненными объемами работ.</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«Работы по оформлению прав Заказчика на земельные участки, необходимые для строительства»</w:t>
      </w:r>
      <w:r>
        <w:rPr>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pPr>
        <w:pStyle w:val="ListParagraph"/>
        <w:widowControl w:val="false"/>
        <w:numPr>
          <w:ilvl w:val="0"/>
          <w:numId w:val="20"/>
        </w:numPr>
        <w:tabs>
          <w:tab w:val="clear" w:pos="708"/>
          <w:tab w:val="left" w:pos="567" w:leader="none"/>
          <w:tab w:val="left" w:pos="1134" w:leader="none"/>
        </w:tabs>
        <w:ind w:left="0" w:firstLine="709"/>
        <w:jc w:val="both"/>
        <w:rPr>
          <w:lang w:eastAsia="en-US"/>
        </w:rPr>
      </w:pPr>
      <w:r>
        <w:rPr>
          <w:lang w:eastAsia="en-US"/>
        </w:rPr>
        <w:t>внесение изменений в правила землепользования и застройки соответствующих муниципальных образований;</w:t>
      </w:r>
    </w:p>
    <w:p>
      <w:pPr>
        <w:pStyle w:val="ListParagraph"/>
        <w:widowControl w:val="false"/>
        <w:numPr>
          <w:ilvl w:val="0"/>
          <w:numId w:val="20"/>
        </w:numPr>
        <w:tabs>
          <w:tab w:val="clear" w:pos="708"/>
          <w:tab w:val="left" w:pos="567" w:leader="none"/>
          <w:tab w:val="left" w:pos="1134" w:leader="none"/>
        </w:tabs>
        <w:ind w:left="0" w:firstLine="709"/>
        <w:jc w:val="both"/>
        <w:rPr>
          <w:lang w:eastAsia="en-US"/>
        </w:rPr>
      </w:pPr>
      <w:r>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pPr>
        <w:pStyle w:val="ListParagraph"/>
        <w:widowControl w:val="false"/>
        <w:numPr>
          <w:ilvl w:val="0"/>
          <w:numId w:val="20"/>
        </w:numPr>
        <w:tabs>
          <w:tab w:val="clear" w:pos="708"/>
          <w:tab w:val="left" w:pos="567" w:leader="none"/>
          <w:tab w:val="left" w:pos="1134" w:leader="none"/>
        </w:tabs>
        <w:ind w:left="0" w:firstLine="709"/>
        <w:jc w:val="both"/>
        <w:rPr>
          <w:lang w:eastAsia="en-US"/>
        </w:rPr>
      </w:pPr>
      <w:r>
        <w:rPr>
          <w:lang w:eastAsia="en-US"/>
        </w:rPr>
        <w:t>формирование и постановка земельных участков на государственный кадастровый учет;</w:t>
      </w:r>
    </w:p>
    <w:p>
      <w:pPr>
        <w:pStyle w:val="ListParagraph"/>
        <w:widowControl w:val="false"/>
        <w:numPr>
          <w:ilvl w:val="0"/>
          <w:numId w:val="20"/>
        </w:numPr>
        <w:tabs>
          <w:tab w:val="clear" w:pos="708"/>
          <w:tab w:val="left" w:pos="567" w:leader="none"/>
          <w:tab w:val="left" w:pos="1134" w:leader="none"/>
        </w:tabs>
        <w:ind w:left="0" w:firstLine="709"/>
        <w:jc w:val="both"/>
        <w:rPr>
          <w:lang w:eastAsia="en-US"/>
        </w:rPr>
      </w:pPr>
      <w:r>
        <w:rPr>
          <w:lang w:eastAsia="en-US"/>
        </w:rPr>
        <w:t>изменение категорий и видов разрешенного использования земельных участков;</w:t>
      </w:r>
    </w:p>
    <w:p>
      <w:pPr>
        <w:pStyle w:val="ListParagraph"/>
        <w:widowControl w:val="false"/>
        <w:numPr>
          <w:ilvl w:val="0"/>
          <w:numId w:val="20"/>
        </w:numPr>
        <w:tabs>
          <w:tab w:val="clear" w:pos="708"/>
          <w:tab w:val="left" w:pos="567" w:leader="none"/>
          <w:tab w:val="left" w:pos="1134" w:leader="none"/>
        </w:tabs>
        <w:ind w:left="0" w:firstLine="709"/>
        <w:jc w:val="both"/>
        <w:rPr>
          <w:lang w:eastAsia="en-US"/>
        </w:rPr>
      </w:pPr>
      <w:r>
        <w:rPr>
          <w:lang w:eastAsia="en-US"/>
        </w:rPr>
        <w:t>заключение от имени и за счет Заказчика договоров аренды, сервитута либо купли-продажи земельных участков;</w:t>
      </w:r>
    </w:p>
    <w:p>
      <w:pPr>
        <w:pStyle w:val="ListParagraph"/>
        <w:widowControl w:val="false"/>
        <w:numPr>
          <w:ilvl w:val="0"/>
          <w:numId w:val="20"/>
        </w:numPr>
        <w:tabs>
          <w:tab w:val="clear" w:pos="708"/>
          <w:tab w:val="left" w:pos="567" w:leader="none"/>
          <w:tab w:val="left" w:pos="1134" w:leader="none"/>
        </w:tabs>
        <w:ind w:left="0" w:firstLine="709"/>
        <w:jc w:val="both"/>
        <w:rPr/>
      </w:pPr>
      <w:r>
        <w:rPr>
          <w:lang w:eastAsia="en-US"/>
        </w:rPr>
        <w:t>получение ГПЗУ</w:t>
      </w:r>
      <w:r>
        <w:rPr/>
        <w:t>.</w:t>
      </w:r>
      <w:r>
        <w:rPr>
          <w:rStyle w:val="FootnoteReference"/>
        </w:rPr>
        <w:footnoteReference w:id="2"/>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shd w:val="clear" w:color="auto" w:fill="FFFFFF"/>
        <w:tabs>
          <w:tab w:val="clear" w:pos="708"/>
          <w:tab w:val="left" w:pos="567" w:leader="none"/>
          <w:tab w:val="left" w:pos="1134" w:leader="none"/>
        </w:tabs>
        <w:ind w:left="0" w:firstLine="708"/>
        <w:jc w:val="both"/>
        <w:textAlignment w:val="baseline"/>
        <w:rPr>
          <w:lang w:eastAsia="en-US"/>
        </w:rPr>
      </w:pPr>
      <w:r>
        <w:rPr>
          <w:lang w:eastAsia="en-US"/>
        </w:rPr>
        <w:t>сметную документацию.</w:t>
      </w:r>
    </w:p>
    <w:p>
      <w:pPr>
        <w:pStyle w:val="Normal"/>
        <w:widowControl w:val="false"/>
        <w:tabs>
          <w:tab w:val="clear" w:pos="708"/>
          <w:tab w:val="left" w:pos="567" w:leader="none"/>
        </w:tabs>
        <w:spacing w:lineRule="auto" w:line="240"/>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положительное заключение государственной экспертизы</w:t>
      </w:r>
      <w:r>
        <w:rPr>
          <w:rStyle w:val="FootnoteReference"/>
          <w:b w:val="false"/>
          <w:sz w:val="24"/>
          <w:szCs w:val="24"/>
          <w:lang w:val="ru-RU" w:eastAsia="en-US"/>
        </w:rPr>
        <w:footnoteReference w:id="3"/>
      </w:r>
      <w:r>
        <w:rPr>
          <w:b w:val="false"/>
          <w:sz w:val="24"/>
          <w:szCs w:val="24"/>
          <w:lang w:val="ru-RU" w:eastAsia="en-US"/>
        </w:rPr>
        <w:t xml:space="preserve">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sz w:val="24"/>
          <w:szCs w:val="24"/>
          <w:lang w:eastAsia="en-US"/>
        </w:rPr>
      </w:pPr>
      <w:r>
        <w:rPr>
          <w:b/>
          <w:sz w:val="24"/>
          <w:szCs w:val="24"/>
          <w:lang w:eastAsia="en-US"/>
        </w:rPr>
        <w:t>«Результат Инженерных изысканий»</w:t>
      </w:r>
      <w:r>
        <w:rPr>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«Смета»</w:t>
      </w:r>
      <w:r>
        <w:rPr>
          <w:b w:val="false"/>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en-US"/>
        </w:rPr>
      </w:pPr>
      <w:r>
        <w:rPr>
          <w:sz w:val="24"/>
          <w:szCs w:val="24"/>
          <w:lang w:val="ru-RU" w:eastAsia="en-US"/>
        </w:rPr>
        <w:t>«Сводная смета»</w:t>
      </w:r>
      <w:r>
        <w:rPr>
          <w:b w:val="false"/>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«Субъект МСП» –</w:t>
      </w:r>
      <w:r>
        <w:rPr>
          <w:b w:val="false"/>
          <w:sz w:val="24"/>
          <w:szCs w:val="24"/>
          <w:lang w:val="ru-RU" w:eastAsia="en-US"/>
        </w:rPr>
        <w:t xml:space="preserve">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«Техническое задание»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«Цена Договора»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pPr>
        <w:pStyle w:val="Heading3"/>
        <w:keepNext w:val="false"/>
        <w:widowControl w:val="false"/>
        <w:tabs>
          <w:tab w:val="clear" w:pos="708"/>
          <w:tab w:val="left" w:pos="567" w:leader="none"/>
        </w:tabs>
        <w:spacing w:before="0" w:after="0"/>
        <w:ind w:firstLine="708"/>
        <w:jc w:val="both"/>
        <w:textAlignment w:val="baseline"/>
        <w:rPr>
          <w:bCs/>
          <w:sz w:val="24"/>
          <w:szCs w:val="24"/>
        </w:rPr>
      </w:pPr>
      <w:r>
        <w:rPr>
          <w:b w:val="false"/>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sz w:val="24"/>
          <w:szCs w:val="24"/>
        </w:rPr>
        <w:t xml:space="preserve"> </w:t>
      </w:r>
    </w:p>
    <w:p>
      <w:pPr>
        <w:pStyle w:val="Normal"/>
        <w:spacing w:lineRule="auto" w:line="240"/>
        <w:rPr/>
      </w:pPr>
      <w:r>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8"/>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r>
        <w:rPr>
          <w:bCs/>
          <w:i/>
        </w:rPr>
        <w:t xml:space="preserve">ОКПД 2: 71.12.13 Выполнение проектно-изыскательских работ по Строительству подстанции 110/10 кВ Ореховая со строительством ВЛ 110 кВ Амур – Ореховая» (I и II цепь) (Специализированный застройщик Оптимал ООО) в рамках выполнения инвестиционного проекта N_27-ХЭС-5530;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r>
        <w:rPr>
          <w:rStyle w:val="FootnoteReference"/>
          <w:bCs/>
        </w:rPr>
        <w:footnoteReference w:id="4"/>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Обследование;</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Выполнение технико-экономического обоснования;</w:t>
      </w:r>
    </w:p>
    <w:p>
      <w:pPr>
        <w:pStyle w:val="ListParagraph"/>
        <w:numPr>
          <w:ilvl w:val="2"/>
          <w:numId w:val="4"/>
        </w:numPr>
        <w:shd w:val="clear" w:color="auto" w:fill="FFFFFF"/>
        <w:tabs>
          <w:tab w:val="clear" w:pos="708"/>
          <w:tab w:val="left" w:pos="1418" w:leader="none"/>
        </w:tabs>
        <w:ind w:left="0" w:firstLine="710"/>
        <w:jc w:val="both"/>
        <w:rPr>
          <w:bCs/>
        </w:rPr>
      </w:pPr>
      <w:r>
        <w:rPr>
          <w:bCs/>
        </w:rPr>
        <w:t>Выполнение Инженерных изысканий;</w:t>
      </w:r>
    </w:p>
    <w:p>
      <w:pPr>
        <w:pStyle w:val="ListParagraph"/>
        <w:numPr>
          <w:ilvl w:val="2"/>
          <w:numId w:val="4"/>
        </w:numPr>
        <w:shd w:val="clear" w:color="auto" w:fill="FFFFFF"/>
        <w:tabs>
          <w:tab w:val="clear" w:pos="708"/>
          <w:tab w:val="left" w:pos="1418" w:leader="none"/>
        </w:tabs>
        <w:ind w:left="0" w:firstLine="709"/>
        <w:jc w:val="both"/>
        <w:rPr>
          <w:bCs/>
        </w:rPr>
      </w:pPr>
      <w:r>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pPr>
        <w:pStyle w:val="ListParagraph"/>
        <w:numPr>
          <w:ilvl w:val="2"/>
          <w:numId w:val="4"/>
        </w:numPr>
        <w:shd w:val="clear" w:color="auto" w:fill="FFFFFF"/>
        <w:tabs>
          <w:tab w:val="clear" w:pos="708"/>
          <w:tab w:val="left" w:pos="1418" w:leader="none"/>
        </w:tabs>
        <w:ind w:left="0" w:firstLine="709"/>
        <w:jc w:val="both"/>
        <w:rPr>
          <w:bCs/>
        </w:rPr>
      </w:pPr>
      <w:r>
        <w:rPr>
          <w:bCs/>
        </w:rPr>
        <w:t>Разработка Проектной документации</w:t>
      </w:r>
      <w:r>
        <w:rPr>
          <w:lang w:val="en-US"/>
        </w:rPr>
        <w:t>;</w:t>
      </w:r>
    </w:p>
    <w:p>
      <w:pPr>
        <w:pStyle w:val="ListParagraph"/>
        <w:numPr>
          <w:ilvl w:val="2"/>
          <w:numId w:val="4"/>
        </w:numPr>
        <w:shd w:val="clear" w:color="auto" w:fill="FFFFFF"/>
        <w:tabs>
          <w:tab w:val="clear" w:pos="708"/>
          <w:tab w:val="left" w:pos="1418" w:leader="none"/>
        </w:tabs>
        <w:ind w:left="0" w:firstLine="709"/>
        <w:jc w:val="both"/>
        <w:rPr>
          <w:bCs/>
        </w:rPr>
      </w:pPr>
      <w:r>
        <w:rPr>
          <w:lang w:eastAsia="en-US"/>
        </w:rPr>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Pr/>
        <w:t>Организации по проведению государственной экспертизы</w:t>
      </w:r>
      <w:r>
        <w:rPr>
          <w:rStyle w:val="FootnoteReference"/>
          <w:lang w:eastAsia="en-US"/>
        </w:rPr>
        <w:footnoteReference w:id="5"/>
      </w:r>
      <w:r>
        <w:rPr>
          <w:bCs/>
        </w:rPr>
        <w:t>;</w:t>
      </w:r>
    </w:p>
    <w:p>
      <w:pPr>
        <w:pStyle w:val="ListParagraph"/>
        <w:numPr>
          <w:ilvl w:val="2"/>
          <w:numId w:val="4"/>
        </w:numPr>
        <w:shd w:val="clear" w:color="auto" w:fill="FFFFFF"/>
        <w:tabs>
          <w:tab w:val="clear" w:pos="708"/>
          <w:tab w:val="left" w:pos="1418" w:leader="none"/>
        </w:tabs>
        <w:ind w:left="0" w:firstLine="710"/>
        <w:jc w:val="both"/>
        <w:rPr>
          <w:lang w:eastAsia="en-US"/>
        </w:rPr>
      </w:pPr>
      <w:r>
        <w:rPr>
          <w:lang w:eastAsia="en-US"/>
        </w:rPr>
        <w:t xml:space="preserve">Сопровождение проведения проверки достоверности определения сметной стоимости строительства / реконструкции объекта капитального строительства в </w:t>
      </w:r>
      <w:r>
        <w:rPr/>
        <w:t>Организации по проведению государственной экспертизы</w:t>
      </w:r>
      <w:r>
        <w:rPr>
          <w:rStyle w:val="FootnoteReference"/>
          <w:lang w:eastAsia="en-US"/>
        </w:rPr>
        <w:footnoteReference w:id="6"/>
      </w:r>
      <w:r>
        <w:rPr>
          <w:lang w:eastAsia="en-US"/>
        </w:rPr>
        <w:t>;</w:t>
      </w:r>
    </w:p>
    <w:p>
      <w:pPr>
        <w:pStyle w:val="ListParagraph"/>
        <w:numPr>
          <w:ilvl w:val="2"/>
          <w:numId w:val="4"/>
        </w:numPr>
        <w:shd w:val="clear" w:color="auto" w:fill="FFFFFF"/>
        <w:tabs>
          <w:tab w:val="clear" w:pos="708"/>
          <w:tab w:val="left" w:pos="1418" w:leader="none"/>
        </w:tabs>
        <w:ind w:left="0" w:firstLine="710"/>
        <w:jc w:val="both"/>
        <w:rPr>
          <w:bCs/>
        </w:rPr>
      </w:pPr>
      <w:r>
        <w:rPr>
          <w:bCs/>
        </w:rPr>
        <w:t>Разработка Рабочей документации</w:t>
      </w:r>
      <w:r>
        <w:rPr>
          <w:lang w:eastAsia="en-US"/>
        </w:rPr>
        <w:t>.</w:t>
      </w:r>
    </w:p>
    <w:p>
      <w:pPr>
        <w:pStyle w:val="ListParagraph"/>
        <w:numPr>
          <w:ilvl w:val="1"/>
          <w:numId w:val="4"/>
        </w:numPr>
        <w:shd w:val="clear" w:color="auto" w:fill="FFFFFF"/>
        <w:tabs>
          <w:tab w:val="clear" w:pos="708"/>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_________________. </w:t>
      </w:r>
    </w:p>
    <w:p>
      <w:pPr>
        <w:pStyle w:val="ListParagraph"/>
        <w:numPr>
          <w:ilvl w:val="1"/>
          <w:numId w:val="4"/>
        </w:numPr>
        <w:shd w:val="clear" w:color="auto" w:fill="FFFFFF"/>
        <w:tabs>
          <w:tab w:val="clear" w:pos="708"/>
          <w:tab w:val="left" w:pos="1134" w:leader="none"/>
        </w:tabs>
        <w:ind w:left="0" w:firstLine="709"/>
        <w:jc w:val="both"/>
        <w:rPr>
          <w:bCs/>
        </w:rPr>
      </w:pPr>
      <w:r>
        <w:rPr>
          <w:bCs/>
        </w:rPr>
        <w:t>Место выполнения Работ (в части Инженерных изысканий): _______________.</w:t>
      </w:r>
    </w:p>
    <w:p>
      <w:pPr>
        <w:pStyle w:val="ListParagraph"/>
        <w:numPr>
          <w:ilvl w:val="1"/>
          <w:numId w:val="4"/>
        </w:numPr>
        <w:shd w:val="clear" w:color="auto" w:fill="FFFFFF"/>
        <w:tabs>
          <w:tab w:val="clear" w:pos="708"/>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t xml:space="preserve"> с даты, следующей за датой заключения Договора;</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t xml:space="preserve">«28» февраля 2025 г.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место производства Работ, место (помещение) для складирования </w:t>
      </w:r>
      <w:r>
        <w:rPr>
          <w:bCs/>
        </w:rPr>
        <w:t>Материально-технических ресурсов и оборудования</w:t>
      </w:r>
      <w:r>
        <w:rPr/>
        <w:t xml:space="preserve"> по соответствующим актам сдачи-приемки (Приложение № 4.1 к Договору);</w:t>
      </w:r>
    </w:p>
    <w:p>
      <w:pPr>
        <w:pStyle w:val="ListParagraph"/>
        <w:numPr>
          <w:ilvl w:val="0"/>
          <w:numId w:val="8"/>
        </w:numPr>
        <w:shd w:val="clear" w:color="auto" w:fill="FFFFFF"/>
        <w:tabs>
          <w:tab w:val="clear" w:pos="708"/>
          <w:tab w:val="left" w:pos="709" w:leader="none"/>
          <w:tab w:val="left" w:pos="1418" w:leader="none"/>
        </w:tabs>
        <w:ind w:left="0" w:firstLine="709"/>
        <w:jc w:val="both"/>
        <w:rPr/>
      </w:pPr>
      <w:bookmarkStart w:id="2" w:name="_Ref361396847"/>
      <w:bookmarkStart w:id="3" w:name="_Ref361320734"/>
      <w:bookmarkStart w:id="4" w:name="_Ref361401696"/>
      <w: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2"/>
      <w:bookmarkEnd w:id="3"/>
      <w:bookmarkEnd w:id="4"/>
    </w:p>
    <w:p>
      <w:pPr>
        <w:pStyle w:val="ListParagraph"/>
        <w:numPr>
          <w:ilvl w:val="2"/>
          <w:numId w:val="4"/>
        </w:numPr>
        <w:shd w:val="clear" w:color="auto" w:fill="FFFFFF"/>
        <w:tabs>
          <w:tab w:val="clear" w:pos="708"/>
          <w:tab w:val="left" w:pos="1418" w:leader="none"/>
        </w:tabs>
        <w:ind w:left="0" w:firstLine="709"/>
        <w:jc w:val="both"/>
        <w:rPr>
          <w:bCs/>
        </w:rPr>
      </w:pPr>
      <w:r>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shd w:val="clear" w:color="auto" w:fill="FFFFFF"/>
        <w:tabs>
          <w:tab w:val="clear" w:pos="708"/>
          <w:tab w:val="left" w:pos="709" w:leader="none"/>
        </w:tabs>
        <w:ind w:left="0" w:firstLine="71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4"/>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4"/>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Круглосуточно осуществлять доступ к месту производства Работ.</w:t>
      </w:r>
    </w:p>
    <w:p>
      <w:pPr>
        <w:pStyle w:val="ListParagraph"/>
        <w:numPr>
          <w:ilvl w:val="2"/>
          <w:numId w:val="4"/>
        </w:numPr>
        <w:shd w:val="clear" w:color="auto" w:fill="FFFFFF"/>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shd w:val="clear" w:color="auto" w:fill="FFFFFF"/>
        <w:tabs>
          <w:tab w:val="clear" w:pos="708"/>
          <w:tab w:val="left" w:pos="1418" w:leader="none"/>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4"/>
        </w:numPr>
        <w:shd w:val="clear" w:color="auto" w:fill="FFFFFF"/>
        <w:tabs>
          <w:tab w:val="clear" w:pos="708"/>
          <w:tab w:val="left" w:pos="709" w:leader="none"/>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Normal"/>
        <w:spacing w:lineRule="auto" w:line="240"/>
        <w:ind w:firstLine="709"/>
        <w:rPr>
          <w:bCs/>
          <w:sz w:val="24"/>
          <w:szCs w:val="24"/>
        </w:rPr>
      </w:pPr>
      <w:r>
        <w:rPr>
          <w:bCs/>
          <w:sz w:val="24"/>
          <w:szCs w:val="24"/>
        </w:rPr>
        <w:t>2.2.10. В случае нарушения Подрядчиком п.2.3.11 настоящего договора Заказчик имеет право:</w:t>
      </w:r>
    </w:p>
    <w:p>
      <w:pPr>
        <w:pStyle w:val="Normal"/>
        <w:spacing w:lineRule="auto" w:line="240"/>
        <w:ind w:firstLine="709"/>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pPr>
        <w:pStyle w:val="Normal"/>
        <w:spacing w:lineRule="auto" w:line="240"/>
        <w:ind w:firstLine="709"/>
        <w:rPr>
          <w:bCs/>
          <w:sz w:val="24"/>
          <w:szCs w:val="24"/>
        </w:rPr>
      </w:pPr>
      <w:r>
        <w:rPr>
          <w:bCs/>
          <w:sz w:val="24"/>
          <w:szCs w:val="24"/>
        </w:rPr>
        <w:t>либо</w:t>
      </w:r>
    </w:p>
    <w:p>
      <w:pPr>
        <w:pStyle w:val="Normal"/>
        <w:spacing w:lineRule="auto" w:line="240"/>
        <w:ind w:firstLine="709"/>
        <w:rPr>
          <w:sz w:val="24"/>
          <w:szCs w:val="24"/>
        </w:rPr>
      </w:pPr>
      <w:r>
        <w:rPr>
          <w:bCs/>
          <w:sz w:val="24"/>
          <w:szCs w:val="24"/>
        </w:rPr>
        <w:t>- допустить работников Подрядчика к работам в соответствии с п.2.1.8</w:t>
      </w:r>
      <w:r>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8"/>
          <w:tab w:val="left" w:pos="1418" w:leader="none"/>
        </w:tabs>
        <w:ind w:left="0" w:firstLine="709"/>
        <w:jc w:val="both"/>
        <w:rPr>
          <w:bCs/>
        </w:rPr>
      </w:pPr>
      <w:r>
        <w:rPr>
          <w:bCs/>
        </w:rPr>
        <w:t>место производства Работ, место (помещение) для складирования Материально-технических ресурсов и оборудования, по соответствующим актам сдачи-приемки (Приложение № 4.1 к Договору);</w:t>
      </w:r>
    </w:p>
    <w:p>
      <w:pPr>
        <w:pStyle w:val="ListParagraph"/>
        <w:numPr>
          <w:ilvl w:val="0"/>
          <w:numId w:val="17"/>
        </w:numPr>
        <w:shd w:val="clear" w:color="auto" w:fill="FFFFFF"/>
        <w:tabs>
          <w:tab w:val="clear" w:pos="708"/>
          <w:tab w:val="left" w:pos="1418" w:leader="none"/>
        </w:tabs>
        <w:ind w:left="0" w:firstLine="709"/>
        <w:jc w:val="both"/>
        <w:rPr>
          <w:bCs/>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При приемке Места производства Работ</w:t>
      </w:r>
      <w:r>
        <w:rPr/>
        <w:t>,</w:t>
      </w:r>
      <w:r>
        <w:rPr>
          <w:bCs/>
        </w:rPr>
        <w:t xml:space="preserve">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Pr/>
        <w:t xml:space="preserve"> </w:t>
      </w:r>
      <w:r>
        <w:rPr>
          <w:bCs/>
        </w:rPr>
        <w:t>складируемых Материально-технических ресурсов и оборудования.</w:t>
      </w:r>
    </w:p>
    <w:p>
      <w:pPr>
        <w:pStyle w:val="ListParagraph"/>
        <w:shd w:val="clear" w:color="auto" w:fill="FFFFFF"/>
        <w:tabs>
          <w:tab w:val="clear" w:pos="708"/>
          <w:tab w:val="left" w:pos="709" w:leader="none"/>
        </w:tabs>
        <w:ind w:left="0" w:firstLine="709"/>
        <w:jc w:val="both"/>
        <w:rPr>
          <w:bCs/>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numPr>
          <w:ilvl w:val="2"/>
          <w:numId w:val="4"/>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4"/>
        </w:numPr>
        <w:tabs>
          <w:tab w:val="clear" w:pos="708"/>
          <w:tab w:val="left" w:pos="709" w:leader="none"/>
          <w:tab w:val="left" w:pos="1430" w:leader="none"/>
        </w:tabs>
        <w:spacing w:lineRule="auto" w:line="240"/>
        <w:ind w:left="0" w:firstLine="709"/>
        <w:rPr>
          <w:bCs/>
          <w:sz w:val="24"/>
          <w:szCs w:val="24"/>
        </w:rPr>
      </w:pPr>
      <w:r>
        <w:rPr>
          <w:bCs/>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Normal"/>
        <w:widowControl w:val="false"/>
        <w:numPr>
          <w:ilvl w:val="2"/>
          <w:numId w:val="4"/>
        </w:numPr>
        <w:tabs>
          <w:tab w:val="clear" w:pos="708"/>
          <w:tab w:val="left" w:pos="709" w:leader="none"/>
          <w:tab w:val="left" w:pos="1430" w:leader="none"/>
        </w:tabs>
        <w:spacing w:lineRule="auto" w:line="240"/>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pPr>
        <w:pStyle w:val="ListParagraph"/>
        <w:numPr>
          <w:ilvl w:val="2"/>
          <w:numId w:val="4"/>
        </w:numPr>
        <w:shd w:val="clear" w:color="auto" w:fill="FFFFFF"/>
        <w:tabs>
          <w:tab w:val="clear" w:pos="708"/>
          <w:tab w:val="left" w:pos="1418" w:leader="none"/>
        </w:tabs>
        <w:ind w:left="0" w:firstLine="709"/>
        <w:jc w:val="both"/>
        <w:rPr>
          <w:bCs/>
        </w:rPr>
      </w:pPr>
      <w:r>
        <w:rPr/>
        <w:t>До фактического начала выполнения Работ предоставить Заказчику</w:t>
      </w:r>
      <w:r>
        <w:rPr>
          <w:bCs/>
        </w:rPr>
        <w:t>:</w:t>
      </w:r>
    </w:p>
    <w:p>
      <w:pPr>
        <w:pStyle w:val="ListParagraph"/>
        <w:numPr>
          <w:ilvl w:val="0"/>
          <w:numId w:val="14"/>
        </w:numPr>
        <w:shd w:val="clear" w:color="auto" w:fill="FFFFFF"/>
        <w:tabs>
          <w:tab w:val="clear" w:pos="708"/>
          <w:tab w:val="left" w:pos="1418" w:leader="none"/>
        </w:tabs>
        <w:ind w:left="0" w:firstLine="709"/>
        <w:jc w:val="both"/>
        <w:rPr/>
      </w:pPr>
      <w: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w:t>
      </w:r>
    </w:p>
    <w:p>
      <w:pPr>
        <w:pStyle w:val="ListParagraph"/>
        <w:numPr>
          <w:ilvl w:val="0"/>
          <w:numId w:val="14"/>
        </w:numPr>
        <w:shd w:val="clear" w:color="auto" w:fill="FFFFFF"/>
        <w:tabs>
          <w:tab w:val="clear" w:pos="708"/>
          <w:tab w:val="left" w:pos="1418"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5"/>
        </w:numPr>
        <w:shd w:val="clear" w:color="auto" w:fill="FFFFFF"/>
        <w:tabs>
          <w:tab w:val="clear" w:pos="708"/>
          <w:tab w:val="left" w:pos="567" w:leader="none"/>
          <w:tab w:val="left" w:pos="1418" w:leader="none"/>
        </w:tabs>
        <w:ind w:left="0" w:firstLine="709"/>
        <w:jc w:val="both"/>
        <w:rPr>
          <w:bCs/>
        </w:rPr>
      </w:pPr>
      <w:r>
        <w:rPr>
          <w:bCs/>
        </w:rPr>
        <w:t xml:space="preserve">участие в саморегулируемой организации, основанной на членстве лиц, </w:t>
      </w:r>
      <w:r>
        <w:rPr/>
        <w:t>выполняющих инженерные изыскания / подготовку проектной документации</w:t>
      </w:r>
      <w:r>
        <w:rPr>
          <w:rStyle w:val="FootnoteReference"/>
        </w:rPr>
        <w:footnoteReference w:id="7"/>
      </w:r>
      <w:r>
        <w:rPr>
          <w:bCs/>
        </w:rPr>
        <w:t xml:space="preserve"> (с учетом исключений, предусмотренных законодательством Российской Федерации</w:t>
      </w:r>
      <w:r>
        <w:rPr>
          <w:rStyle w:val="FootnoteReference"/>
          <w:bCs/>
        </w:rPr>
        <w:footnoteReference w:id="8"/>
      </w:r>
      <w:r>
        <w:rPr>
          <w:bCs/>
        </w:rPr>
        <w:t>);</w:t>
      </w:r>
    </w:p>
    <w:p>
      <w:pPr>
        <w:pStyle w:val="ListParagraph"/>
        <w:numPr>
          <w:ilvl w:val="0"/>
          <w:numId w:val="15"/>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4"/>
        </w:numPr>
        <w:shd w:val="clear" w:color="auto" w:fill="FFFFFF"/>
        <w:tabs>
          <w:tab w:val="clear" w:pos="708"/>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Передать Заказчику Результат Работ, соответствующий требованиям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shd w:val="clear" w:color="auto" w:fill="FFFFFF"/>
        <w:tabs>
          <w:tab w:val="clear" w:pos="708"/>
          <w:tab w:val="left" w:pos="1418" w:leader="none"/>
        </w:tabs>
        <w:ind w:left="0" w:firstLine="709"/>
        <w:jc w:val="both"/>
        <w:rPr>
          <w:bCs/>
        </w:rPr>
      </w:pPr>
      <w:r>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6"/>
        </w:numPr>
        <w:tabs>
          <w:tab w:val="clear" w:pos="708"/>
          <w:tab w:val="left" w:pos="1134" w:leader="none"/>
        </w:tabs>
        <w:ind w:left="0" w:right="23" w:firstLine="709"/>
        <w:jc w:val="both"/>
        <w:rPr/>
      </w:pPr>
      <w:r>
        <w:rPr/>
        <w:t>аварии – в течение 2 (двух) часов;</w:t>
      </w:r>
    </w:p>
    <w:p>
      <w:pPr>
        <w:pStyle w:val="ListParagraph"/>
        <w:numPr>
          <w:ilvl w:val="0"/>
          <w:numId w:val="16"/>
        </w:numPr>
        <w:tabs>
          <w:tab w:val="clear" w:pos="708"/>
          <w:tab w:val="left" w:pos="1134" w:leader="none"/>
        </w:tabs>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6"/>
        </w:numPr>
        <w:tabs>
          <w:tab w:val="clear" w:pos="708"/>
          <w:tab w:val="left" w:pos="1134" w:leader="none"/>
        </w:tabs>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tabs>
          <w:tab w:val="clear" w:pos="708"/>
          <w:tab w:val="left" w:pos="1134" w:leader="none"/>
        </w:tabs>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Результата Инженерных изысканий и / или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lang w:eastAsia="en-US"/>
        </w:rPr>
        <w:t>Проектной документации, Результата Инженерных изысканий и / или Рабочей документации</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4"/>
        </w:numPr>
        <w:ind w:left="0" w:firstLine="709"/>
        <w:jc w:val="both"/>
        <w:rPr>
          <w:color w:val="000000"/>
        </w:rPr>
      </w:pPr>
      <w:r>
        <w:rPr>
          <w:color w:val="000000"/>
        </w:rPr>
        <w:t xml:space="preserve">Предоставить Заказчику </w:t>
      </w:r>
      <w:r>
        <w:rPr>
          <w:color w:val="000000"/>
        </w:rPr>
        <w:t>независимые</w:t>
      </w:r>
      <w:r>
        <w:rPr>
          <w:color w:val="000000"/>
        </w:rPr>
        <w:t xml:space="preserve">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09"/>
        <w:jc w:val="both"/>
        <w:rPr/>
      </w:pPr>
      <w:r>
        <w:rPr/>
        <w:t xml:space="preserve"> </w:t>
      </w:r>
      <w:r>
        <w:rPr/>
        <w:t xml:space="preserve">Организовать выполнение </w:t>
      </w:r>
      <w:r>
        <w:rPr>
          <w:lang w:eastAsia="en-US"/>
        </w:rPr>
        <w:t>Работ по оформлению прав Заказчика на земельные участки, необходимые для строительства</w:t>
      </w:r>
      <w:r>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pPr>
        <w:pStyle w:val="ListParagraph"/>
        <w:numPr>
          <w:ilvl w:val="2"/>
          <w:numId w:val="4"/>
        </w:numPr>
        <w:shd w:val="clear" w:color="auto" w:fill="FFFFFF"/>
        <w:tabs>
          <w:tab w:val="clear" w:pos="708"/>
          <w:tab w:val="left" w:pos="1418" w:leader="none"/>
        </w:tabs>
        <w:ind w:left="0" w:firstLine="71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4"/>
        </w:numPr>
        <w:shd w:val="clear" w:color="auto" w:fill="FFFFFF"/>
        <w:tabs>
          <w:tab w:val="clear" w:pos="708"/>
          <w:tab w:val="left" w:pos="1418" w:leader="none"/>
        </w:tabs>
        <w:ind w:left="0" w:firstLine="710"/>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bookmarkStart w:id="8" w:name="_GoBack1"/>
      <w:bookmarkEnd w:id="8"/>
    </w:p>
    <w:p>
      <w:pPr>
        <w:pStyle w:val="ListParagraph"/>
        <w:numPr>
          <w:ilvl w:val="2"/>
          <w:numId w:val="4"/>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__ % (____ процентов)</w:t>
      </w:r>
      <w:r>
        <w:rPr>
          <w:rStyle w:val="FootnoteReference"/>
          <w:bCs/>
        </w:rPr>
        <w:footnoteReference w:id="9"/>
      </w:r>
      <w:r>
        <w:rPr>
          <w:bCs/>
        </w:rPr>
        <w:t xml:space="preserve">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8"/>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8"/>
        </w:numPr>
        <w:shd w:val="clear" w:color="auto" w:fill="FFFFFF"/>
        <w:tabs>
          <w:tab w:val="clear" w:pos="708"/>
          <w:tab w:val="left" w:pos="709" w:leader="none"/>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8"/>
          <w:tab w:val="left" w:pos="1276" w:leader="none"/>
          <w:tab w:val="left" w:pos="1418" w:leader="none"/>
        </w:tabs>
        <w:ind w:left="0" w:firstLine="567"/>
        <w:jc w:val="both"/>
        <w:rPr>
          <w:b/>
          <w:bCs/>
        </w:rPr>
      </w:pPr>
      <w:r>
        <w:rPr>
          <w:b/>
          <w:bCs/>
        </w:rPr>
      </w:r>
    </w:p>
    <w:p>
      <w:pPr>
        <w:pStyle w:val="Normal"/>
        <w:shd w:val="clear" w:color="auto" w:fill="FFFFFF"/>
        <w:tabs>
          <w:tab w:val="clear" w:pos="708"/>
          <w:tab w:val="left" w:pos="851" w:leader="none"/>
        </w:tabs>
        <w:spacing w:lineRule="auto" w:line="240"/>
        <w:ind w:firstLine="709"/>
        <w:rPr>
          <w:bCs/>
          <w:sz w:val="24"/>
          <w:szCs w:val="24"/>
        </w:rPr>
      </w:pPr>
      <w:r>
        <w:rPr>
          <w:bCs/>
          <w:sz w:val="24"/>
          <w:szCs w:val="24"/>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8 к Договору</w:t>
      </w:r>
      <w:r>
        <w:rPr>
          <w:rStyle w:val="FootnoteReference"/>
          <w:bCs/>
          <w:sz w:val="24"/>
          <w:szCs w:val="24"/>
        </w:rPr>
        <w:footnoteReference w:id="10"/>
      </w:r>
      <w:r>
        <w:rPr>
          <w:bCs/>
          <w:sz w:val="24"/>
          <w:szCs w:val="24"/>
        </w:rPr>
        <w:t>.</w:t>
      </w:r>
    </w:p>
    <w:p>
      <w:pPr>
        <w:pStyle w:val="ListParagraph"/>
        <w:shd w:val="clear" w:color="auto" w:fill="FFFFFF"/>
        <w:tabs>
          <w:tab w:val="clear" w:pos="708"/>
          <w:tab w:val="left" w:pos="851" w:leader="none"/>
        </w:tabs>
        <w:ind w:left="0" w:firstLine="709"/>
        <w:jc w:val="both"/>
        <w:rPr>
          <w:bCs/>
        </w:rPr>
      </w:pPr>
      <w:r>
        <w:rPr>
          <w:bCs/>
        </w:rPr>
      </w:r>
    </w:p>
    <w:p>
      <w:pPr>
        <w:pStyle w:val="ListParagraph"/>
        <w:numPr>
          <w:ilvl w:val="1"/>
          <w:numId w:val="4"/>
        </w:numPr>
        <w:shd w:val="clear" w:color="auto" w:fill="FFFFFF"/>
        <w:tabs>
          <w:tab w:val="clear" w:pos="708"/>
          <w:tab w:val="left" w:pos="851" w:leader="none"/>
          <w:tab w:val="left" w:pos="1134" w:leader="none"/>
        </w:tabs>
        <w:ind w:left="0" w:firstLine="709"/>
        <w:rPr>
          <w:bCs/>
        </w:rPr>
      </w:pPr>
      <w:r>
        <w:rPr>
          <w:bCs/>
        </w:rPr>
        <w:t>Иные права и обязанности Сторон:</w:t>
      </w:r>
    </w:p>
    <w:p>
      <w:pPr>
        <w:pStyle w:val="ListParagraph"/>
        <w:numPr>
          <w:ilvl w:val="2"/>
          <w:numId w:val="4"/>
        </w:numPr>
        <w:shd w:val="clear" w:color="auto" w:fill="FFFFFF"/>
        <w:tabs>
          <w:tab w:val="clear" w:pos="708"/>
          <w:tab w:val="left" w:pos="851" w:leader="none"/>
          <w:tab w:val="left" w:pos="1418" w:leader="none"/>
        </w:tabs>
        <w:ind w:left="0" w:firstLine="709"/>
        <w:jc w:val="both"/>
        <w:rPr/>
      </w:pPr>
      <w:r>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Pr>
          <w:rStyle w:val="FootnoteCharacters"/>
        </w:rPr>
        <w:t xml:space="preserve"> </w:t>
      </w:r>
    </w:p>
    <w:p>
      <w:pPr>
        <w:pStyle w:val="ListParagraph"/>
        <w:numPr>
          <w:ilvl w:val="2"/>
          <w:numId w:val="4"/>
        </w:numPr>
        <w:tabs>
          <w:tab w:val="clear" w:pos="708"/>
          <w:tab w:val="left" w:pos="851" w:leader="none"/>
        </w:tabs>
        <w:ind w:left="0" w:firstLine="709"/>
        <w:jc w:val="both"/>
        <w:rPr/>
      </w:pPr>
      <w:r>
        <w:rPr/>
        <w:t>При заключении договоров с Субподрядчиками в случае, предусмотренном пунктом 2.5.1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pPr>
        <w:pStyle w:val="ListParagraph"/>
        <w:numPr>
          <w:ilvl w:val="2"/>
          <w:numId w:val="4"/>
        </w:numPr>
        <w:tabs>
          <w:tab w:val="clear" w:pos="708"/>
          <w:tab w:val="left" w:pos="851" w:leader="none"/>
        </w:tabs>
        <w:ind w:left="0" w:firstLine="709"/>
        <w:jc w:val="both"/>
        <w:rPr/>
      </w:pPr>
      <w:r>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8 к Договору</w:t>
      </w:r>
      <w:r>
        <w:rPr>
          <w:rStyle w:val="FootnoteReference"/>
        </w:rPr>
        <w:footnoteReference w:id="11"/>
      </w:r>
    </w:p>
    <w:p>
      <w:pPr>
        <w:pStyle w:val="ListParagraph"/>
        <w:tabs>
          <w:tab w:val="clear" w:pos="708"/>
          <w:tab w:val="left" w:pos="851" w:leader="none"/>
        </w:tabs>
        <w:ind w:left="0" w:firstLine="709"/>
        <w:jc w:val="both"/>
        <w:rPr/>
      </w:pPr>
      <w:r>
        <w:rPr/>
      </w:r>
    </w:p>
    <w:p>
      <w:pPr>
        <w:pStyle w:val="ListParagraph"/>
        <w:tabs>
          <w:tab w:val="clear" w:pos="708"/>
          <w:tab w:val="left" w:pos="851" w:leader="none"/>
        </w:tabs>
        <w:ind w:left="0" w:firstLine="709"/>
        <w:jc w:val="both"/>
        <w:rPr/>
      </w:pPr>
      <w:r>
        <w:rPr/>
        <w:t>2.6. В случае нарушения Подрядчиком условий, предусмотренных пунктами 2.4.3, 2.5.2, 2.5.3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pPr>
        <w:pStyle w:val="ListParagraph"/>
        <w:shd w:val="clear" w:color="auto" w:fill="FFFFFF"/>
        <w:tabs>
          <w:tab w:val="clear" w:pos="708"/>
          <w:tab w:val="left" w:pos="1276" w:leader="none"/>
          <w:tab w:val="left" w:pos="1418" w:leader="none"/>
        </w:tabs>
        <w:ind w:left="0" w:firstLine="567"/>
        <w:jc w:val="both"/>
        <w:rPr>
          <w:b/>
          <w:bCs/>
        </w:rPr>
      </w:pPr>
      <w:r>
        <w:rPr>
          <w:b/>
          <w:bCs/>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9" w:name="_Ref361335465"/>
      <w:r>
        <w:rPr>
          <w:bCs/>
        </w:rPr>
        <w:t xml:space="preserve">Цена </w:t>
      </w:r>
      <w:r>
        <w:rPr/>
        <w:t xml:space="preserve">Договора </w:t>
      </w:r>
      <w:r>
        <w:rPr>
          <w:bCs/>
        </w:rPr>
        <w:t xml:space="preserve">в соответствии со Сводной сметой с приложениями (Приложение № 3 к Договору) является предельной / твердой и составляет </w:t>
      </w:r>
      <w:r>
        <w:rPr/>
        <w:t>_______</w:t>
      </w:r>
      <w:r>
        <w:rPr>
          <w:bCs/>
        </w:rPr>
        <w:t xml:space="preserve"> (</w:t>
      </w:r>
      <w:r>
        <w:rPr/>
        <w:t>__________________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t xml:space="preserve">Предельная </w:t>
      </w:r>
      <w:r>
        <w:rPr>
          <w:bCs/>
        </w:rPr>
        <w:t xml:space="preserve">/ Твердая цена Работ (без учета Лимита на непредвиденные работы и затраты, Инженерных изысканий) составляет </w:t>
      </w:r>
      <w:r>
        <w:rPr/>
        <w:t xml:space="preserve">_______ </w:t>
      </w:r>
      <w:r>
        <w:rPr>
          <w:bCs/>
        </w:rPr>
        <w:t>(</w:t>
      </w:r>
      <w:r>
        <w:rPr/>
        <w:t>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НК РФ;</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Предельная цена Работ по выполнению Инженерных изысканий составляет </w:t>
      </w:r>
      <w:r>
        <w:rPr/>
        <w:t xml:space="preserve">_______ </w:t>
      </w:r>
      <w:r>
        <w:rPr>
          <w:bCs/>
        </w:rPr>
        <w:t>(</w:t>
      </w:r>
      <w:r>
        <w:rPr/>
        <w:t>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НК РФ;</w:t>
      </w:r>
    </w:p>
    <w:p>
      <w:pPr>
        <w:pStyle w:val="ListParagraph"/>
        <w:numPr>
          <w:ilvl w:val="2"/>
          <w:numId w:val="4"/>
        </w:numPr>
        <w:shd w:val="clear" w:color="auto" w:fill="FFFFFF"/>
        <w:tabs>
          <w:tab w:val="clear" w:pos="708"/>
          <w:tab w:val="left" w:pos="1418" w:leader="none"/>
        </w:tabs>
        <w:ind w:left="0" w:firstLine="709"/>
        <w:jc w:val="both"/>
        <w:rPr>
          <w:bCs/>
        </w:rPr>
      </w:pPr>
      <w:r>
        <w:rPr/>
        <w:t xml:space="preserve">Лимит на непредвиденные работы и затраты составляет ______ </w:t>
      </w:r>
      <w:r>
        <w:rPr>
          <w:bCs/>
        </w:rPr>
        <w:t>(___________________)</w:t>
      </w:r>
      <w:r>
        <w:rPr/>
        <w:t xml:space="preserve"> рублей ___ копеек </w:t>
      </w:r>
      <w:r>
        <w:rPr>
          <w:bCs/>
        </w:rPr>
        <w:t>без учета НДС, при этом НДС исчисляется дополнительно по ставке, установленной статьей 164 НК РФ.</w:t>
      </w:r>
    </w:p>
    <w:p>
      <w:pPr>
        <w:pStyle w:val="ListParagraph"/>
        <w:numPr>
          <w:ilvl w:val="1"/>
          <w:numId w:val="4"/>
        </w:numPr>
        <w:shd w:val="clear" w:color="auto" w:fill="FFFFFF"/>
        <w:tabs>
          <w:tab w:val="clear" w:pos="708"/>
          <w:tab w:val="left" w:pos="1134" w:leader="none"/>
        </w:tabs>
        <w:ind w:left="0" w:firstLine="709"/>
        <w:jc w:val="both"/>
        <w:rPr/>
      </w:pPr>
      <w:bookmarkStart w:id="10" w:name="_Ref361834605"/>
      <w:r>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pPr>
        <w:pStyle w:val="ListParagraph"/>
        <w:shd w:val="clear" w:color="auto" w:fill="FFFFFF"/>
        <w:tabs>
          <w:tab w:val="clear" w:pos="708"/>
          <w:tab w:val="left" w:pos="1134" w:leader="none"/>
        </w:tabs>
        <w:ind w:left="0" w:firstLine="709"/>
        <w:jc w:val="both"/>
        <w:rPr>
          <w:i/>
          <w:i/>
        </w:rPr>
      </w:pPr>
      <w:r>
        <w:rPr>
          <w:i/>
        </w:rPr>
        <w:t>либо</w:t>
      </w:r>
    </w:p>
    <w:p>
      <w:pPr>
        <w:pStyle w:val="ListParagraph"/>
        <w:shd w:val="clear" w:color="auto" w:fill="FFFFFF"/>
        <w:tabs>
          <w:tab w:val="clear" w:pos="708"/>
          <w:tab w:val="left" w:pos="1134" w:leader="none"/>
        </w:tabs>
        <w:ind w:left="0" w:firstLine="709"/>
        <w:jc w:val="both"/>
        <w:rPr>
          <w:bCs/>
        </w:rPr>
      </w:pPr>
      <w:r>
        <w:rPr/>
        <w:t>Сметы являются неотъемлемой частью Сводной сметы с приложениями (Приложение № 3 к Договору)</w:t>
      </w:r>
      <w:r>
        <w:rPr>
          <w:rStyle w:val="FootnoteReference"/>
          <w:bCs/>
        </w:rPr>
        <w:footnoteReference w:id="12"/>
      </w:r>
      <w:r>
        <w:rPr>
          <w:bCs/>
        </w:rPr>
        <w:t>.</w:t>
      </w:r>
      <w:bookmarkEnd w:id="9"/>
    </w:p>
    <w:p>
      <w:pPr>
        <w:pStyle w:val="ListParagraph"/>
        <w:numPr>
          <w:ilvl w:val="1"/>
          <w:numId w:val="4"/>
        </w:numPr>
        <w:shd w:val="clear" w:color="auto" w:fill="FFFFFF"/>
        <w:tabs>
          <w:tab w:val="clear" w:pos="708"/>
          <w:tab w:val="left" w:pos="1134" w:leader="none"/>
        </w:tabs>
        <w:ind w:left="0" w:firstLine="709"/>
        <w:jc w:val="both"/>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firstLine="709"/>
        <w:jc w:val="both"/>
        <w:rPr/>
      </w:pPr>
      <w:r>
        <w:rPr/>
        <w:t>Получение и оформление Исходно-разрешительной документации;</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4"/>
        </w:numPr>
        <w:ind w:left="0" w:firstLine="710"/>
        <w:jc w:val="both"/>
        <w:rPr/>
      </w:pPr>
      <w: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firstLine="709"/>
        <w:jc w:val="both"/>
        <w:rPr>
          <w:bCs/>
        </w:rPr>
      </w:pPr>
      <w:bookmarkStart w:id="11" w:name="_Ref361834675"/>
      <w:bookmarkStart w:id="12" w:name="_Ref361858588"/>
      <w:r>
        <w:rPr>
          <w:bCs/>
        </w:rPr>
        <w:t>Оплата по Договору осуществляется Заказчиком в следующем порядке:</w:t>
      </w:r>
      <w:bookmarkEnd w:id="11"/>
      <w:bookmarkEnd w:id="12"/>
      <w:r>
        <w:rPr>
          <w:bCs/>
        </w:rPr>
        <w:t xml:space="preserve"> </w:t>
      </w:r>
    </w:p>
    <w:p>
      <w:pPr>
        <w:pStyle w:val="ListParagraph"/>
        <w:numPr>
          <w:ilvl w:val="2"/>
          <w:numId w:val="4"/>
        </w:numPr>
        <w:shd w:val="clear" w:color="auto" w:fill="FFFFFF"/>
        <w:tabs>
          <w:tab w:val="clear" w:pos="708"/>
          <w:tab w:val="left" w:pos="1418" w:leader="none"/>
        </w:tabs>
        <w:ind w:left="0" w:firstLine="709"/>
        <w:jc w:val="both"/>
        <w:rPr/>
      </w:pPr>
      <w:bookmarkStart w:id="13" w:name="_Ref373242755"/>
      <w:bookmarkStart w:id="14" w:name="_Ref361335057"/>
      <w:bookmarkEnd w:id="13"/>
      <w:bookmarkEnd w:id="14"/>
      <w:r>
        <w:rPr/>
        <w:t xml:space="preserve">Подрядчик не позднее, чем за 3 (три) рабочих дня до предполагаемой даты выплаты авансового платежа, обязан предоставить Заказчику </w:t>
      </w:r>
      <w:r>
        <w:rPr/>
        <w:t>Независимую</w:t>
      </w:r>
      <w:r>
        <w:rPr/>
        <w:t xml:space="preserve"> гарантию, соответствующую требованиям, установленным разделом 6 Договора и предварительно согласованную с Заказчиком.</w:t>
      </w:r>
    </w:p>
    <w:p>
      <w:pPr>
        <w:pStyle w:val="ListParagraph"/>
        <w:numPr>
          <w:ilvl w:val="2"/>
          <w:numId w:val="4"/>
        </w:numPr>
        <w:shd w:val="clear" w:color="auto" w:fill="FFFFFF"/>
        <w:tabs>
          <w:tab w:val="clear" w:pos="708"/>
          <w:tab w:val="left" w:pos="1418" w:leader="none"/>
        </w:tabs>
        <w:ind w:left="0" w:firstLine="710"/>
        <w:jc w:val="both"/>
        <w:rPr/>
      </w:pPr>
      <w:bookmarkStart w:id="15" w:name="_Ref361335023"/>
      <w:bookmarkStart w:id="16" w:name="_Ref373242766"/>
      <w:bookmarkStart w:id="17" w:name="_Ref3732427551"/>
      <w:bookmarkStart w:id="18" w:name="_Ref3613350571"/>
      <w:bookmarkEnd w:id="17"/>
      <w:bookmarkEnd w:id="18"/>
      <w:r>
        <w:rPr/>
        <w:t>Авансовые платежи в счет стоимости каждого Этапа Работ в размере 30% (тридцати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при условии согласования Сторонами сметной документации на соответствующий Этап Работ в соответствии с пунктом 3.2 Договора</w:t>
      </w:r>
      <w:r>
        <w:rPr>
          <w:rStyle w:val="FootnoteReference"/>
        </w:rPr>
        <w:footnoteReference w:id="13"/>
      </w:r>
      <w:r>
        <w:rPr/>
        <w:t>, и с учетом пунктов 3.5.1, 3.5.5 Договора.</w:t>
      </w:r>
      <w:bookmarkEnd w:id="16"/>
    </w:p>
    <w:p>
      <w:pPr>
        <w:pStyle w:val="ListParagraph"/>
        <w:numPr>
          <w:ilvl w:val="2"/>
          <w:numId w:val="4"/>
        </w:numPr>
        <w:shd w:val="clear" w:color="auto" w:fill="FFFFFF"/>
        <w:tabs>
          <w:tab w:val="clear" w:pos="708"/>
          <w:tab w:val="left" w:pos="1418" w:leader="none"/>
        </w:tabs>
        <w:ind w:left="0" w:firstLine="709"/>
        <w:jc w:val="both"/>
        <w:rPr/>
      </w:pPr>
      <w:r>
        <w:rPr/>
        <w:t>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течение  45 (сорока пяти) календарных дней/ 7 (семи) рабочих дней</w:t>
      </w:r>
      <w:r>
        <w:rPr>
          <w:rStyle w:val="FootnoteReference"/>
        </w:rPr>
        <w:footnoteReference w:id="14"/>
      </w:r>
      <w:r>
        <w:rPr/>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 </w:t>
      </w:r>
    </w:p>
    <w:p>
      <w:pPr>
        <w:pStyle w:val="ListParagraph"/>
        <w:numPr>
          <w:ilvl w:val="2"/>
          <w:numId w:val="4"/>
        </w:numPr>
        <w:shd w:val="clear" w:color="auto" w:fill="FFFFFF"/>
        <w:tabs>
          <w:tab w:val="clear" w:pos="708"/>
          <w:tab w:val="left" w:pos="1418" w:leader="none"/>
        </w:tabs>
        <w:ind w:left="0" w:firstLine="709"/>
        <w:jc w:val="both"/>
        <w:rPr/>
      </w:pPr>
      <w:r>
        <w:rPr/>
        <w:t>Последующие платежи в размере 70% (семидесяти процентов) от стоимости каждого Этапа Работ (кроме Работ по выполнению Инженерных изысканий) выплачиваются в течение  45 (сорока пяти) календарных дней/ 7 (семи) рабочих дней</w:t>
      </w:r>
      <w:r>
        <w:rPr>
          <w:rStyle w:val="FootnoteReference"/>
        </w:rPr>
        <w:footnoteReference w:id="15"/>
      </w:r>
      <w:r>
        <w:rPr/>
        <w:t xml:space="preserve"> с даты подписания Сторонами документов, указанных в пункте 4.1 Договора, на основании счёта, выставленного Подрядчиком, и с учетом пунктов 3.5.5, 3.5.6 Договора. </w:t>
      </w:r>
    </w:p>
    <w:p>
      <w:pPr>
        <w:pStyle w:val="ListParagraph"/>
        <w:numPr>
          <w:ilvl w:val="2"/>
          <w:numId w:val="4"/>
        </w:numPr>
        <w:shd w:val="clear" w:color="auto" w:fill="FFFFFF"/>
        <w:tabs>
          <w:tab w:val="clear" w:pos="708"/>
          <w:tab w:val="left" w:pos="1418" w:leader="none"/>
        </w:tabs>
        <w:ind w:left="0" w:firstLine="709"/>
        <w:jc w:val="both"/>
        <w:rPr/>
      </w:pPr>
      <w:bookmarkStart w:id="19"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9"/>
    </w:p>
    <w:p>
      <w:pPr>
        <w:pStyle w:val="ListParagraph"/>
        <w:numPr>
          <w:ilvl w:val="2"/>
          <w:numId w:val="4"/>
        </w:numPr>
        <w:shd w:val="clear" w:color="auto" w:fill="FFFFFF"/>
        <w:tabs>
          <w:tab w:val="clear" w:pos="708"/>
          <w:tab w:val="left" w:pos="1418" w:leader="none"/>
        </w:tabs>
        <w:ind w:left="0" w:firstLine="709"/>
        <w:jc w:val="both"/>
        <w:rPr>
          <w:bCs/>
        </w:rPr>
      </w:pPr>
      <w:r>
        <w:rPr/>
        <w:t>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дней / 7 (семи) рабочих дней</w:t>
      </w:r>
      <w:r>
        <w:rPr>
          <w:rStyle w:val="FootnoteReference"/>
        </w:rPr>
        <w:footnoteReference w:id="16"/>
      </w:r>
      <w:r>
        <w:rPr/>
        <w:t xml:space="preserve"> с даты подписания Сторонами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w:t>
      </w:r>
    </w:p>
    <w:p>
      <w:pPr>
        <w:pStyle w:val="ListParagraph"/>
        <w:shd w:val="clear" w:color="auto" w:fill="FFFFFF"/>
        <w:tabs>
          <w:tab w:val="clear" w:pos="708"/>
          <w:tab w:val="left" w:pos="1418" w:leader="none"/>
        </w:tabs>
        <w:ind w:left="0" w:firstLine="709"/>
        <w:jc w:val="both"/>
        <w:rPr/>
      </w:pPr>
      <w:r>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 7 (семи) рабочих дней</w:t>
      </w:r>
      <w:r>
        <w:rPr>
          <w:rStyle w:val="FootnoteReference"/>
        </w:rPr>
        <w:footnoteReference w:id="17"/>
      </w:r>
      <w:r>
        <w:rPr/>
        <w:t xml:space="preserve">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Pr>
          <w:lang w:eastAsia="en-US"/>
        </w:rPr>
        <w:t xml:space="preserve"> </w:t>
      </w:r>
      <w:r>
        <w:rPr/>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pPr>
        <w:pStyle w:val="ListParagraph"/>
        <w:shd w:val="clear" w:color="auto" w:fill="FFFFFF"/>
        <w:tabs>
          <w:tab w:val="clear" w:pos="708"/>
          <w:tab w:val="left" w:pos="709" w:leader="none"/>
        </w:tabs>
        <w:ind w:left="0" w:firstLine="709"/>
        <w:jc w:val="both"/>
        <w:rPr>
          <w:lang w:eastAsia="en-US"/>
        </w:rPr>
      </w:pPr>
      <w:r>
        <w:rPr/>
        <w:t>Любое требование Подрядчика о выплате Обеспечительного платежа до наступления установленного Договором срока не подлежит удовлетворению</w:t>
      </w:r>
      <w:r>
        <w:rPr>
          <w:rStyle w:val="FootnoteReference"/>
          <w:lang w:eastAsia="en-US"/>
        </w:rPr>
        <w:footnoteReference w:id="18"/>
      </w:r>
      <w:r>
        <w:rPr>
          <w:lang w:eastAsia="en-US"/>
        </w:rPr>
        <w:t>.</w:t>
      </w:r>
    </w:p>
    <w:p>
      <w:pPr>
        <w:pStyle w:val="ListParagraph"/>
        <w:numPr>
          <w:ilvl w:val="2"/>
          <w:numId w:val="4"/>
        </w:numPr>
        <w:shd w:val="clear" w:color="auto" w:fill="FFFFFF"/>
        <w:tabs>
          <w:tab w:val="clear" w:pos="708"/>
          <w:tab w:val="left" w:pos="709" w:leader="none"/>
        </w:tabs>
        <w:ind w:left="0" w:firstLine="709"/>
        <w:jc w:val="both"/>
        <w:rPr>
          <w:bCs/>
        </w:rPr>
      </w:pPr>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bookmarkEnd w:id="20"/>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Normal"/>
        <w:shd w:val="clear" w:color="auto" w:fill="FFFFFF"/>
        <w:tabs>
          <w:tab w:val="clear" w:pos="708"/>
          <w:tab w:val="left" w:pos="1418" w:leader="none"/>
        </w:tabs>
        <w:spacing w:lineRule="auto" w:line="240"/>
        <w:ind w:firstLine="709"/>
        <w:rPr>
          <w:bCs/>
          <w:sz w:val="24"/>
          <w:szCs w:val="24"/>
        </w:rPr>
      </w:pPr>
      <w:r>
        <w:rPr>
          <w:sz w:val="24"/>
          <w:szCs w:val="24"/>
        </w:rPr>
        <w:t xml:space="preserve">3.9. </w:t>
      </w:r>
      <w:r>
        <w:rPr>
          <w:bCs/>
          <w:sz w:val="24"/>
          <w:szCs w:val="24"/>
        </w:rPr>
        <w:t>Непредвиденные работы и затраты</w:t>
      </w:r>
      <w:r>
        <w:rPr>
          <w:rStyle w:val="FootnoteReference"/>
          <w:bCs/>
          <w:sz w:val="24"/>
          <w:szCs w:val="24"/>
        </w:rPr>
        <w:footnoteReference w:id="19"/>
      </w:r>
      <w:r>
        <w:rPr>
          <w:bCs/>
          <w:sz w:val="24"/>
          <w:szCs w:val="24"/>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45 (сорока пяти) календарных дней </w:t>
      </w:r>
      <w:r>
        <w:rPr>
          <w:sz w:val="24"/>
          <w:szCs w:val="24"/>
        </w:rPr>
        <w:t>/ 7 (семи) рабочих дней</w:t>
      </w:r>
      <w:r>
        <w:rPr>
          <w:rStyle w:val="FootnoteReference"/>
          <w:sz w:val="24"/>
          <w:szCs w:val="24"/>
        </w:rPr>
        <w:footnoteReference w:id="20"/>
      </w:r>
      <w:r>
        <w:rPr>
          <w:sz w:val="24"/>
          <w:szCs w:val="24"/>
        </w:rPr>
        <w:t xml:space="preserve"> </w:t>
      </w:r>
      <w:r>
        <w:rPr>
          <w:bCs/>
          <w:sz w:val="24"/>
          <w:szCs w:val="24"/>
        </w:rPr>
        <w:t xml:space="preserve"> 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pPr>
        <w:pStyle w:val="Normal"/>
        <w:shd w:val="clear" w:color="auto" w:fill="FFFFFF"/>
        <w:tabs>
          <w:tab w:val="clear" w:pos="708"/>
          <w:tab w:val="left" w:pos="1418" w:leader="none"/>
        </w:tabs>
        <w:spacing w:lineRule="auto" w:line="240"/>
        <w:ind w:firstLine="709"/>
        <w:rPr>
          <w:bCs/>
          <w:sz w:val="24"/>
          <w:szCs w:val="24"/>
        </w:rPr>
      </w:pPr>
      <w:r>
        <w:rPr>
          <w:sz w:val="24"/>
          <w:szCs w:val="24"/>
        </w:rPr>
        <w:t xml:space="preserve">3.10. Командировочные расходы включаются в стоимость Этапов Работ в соответствии с расчетом, прилагаемым к Сводной смете </w:t>
      </w:r>
      <w:r>
        <w:rPr>
          <w:bCs/>
          <w:sz w:val="24"/>
          <w:szCs w:val="24"/>
        </w:rPr>
        <w:t>с приложениями</w:t>
      </w:r>
      <w:r>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1" w:name="_Ref361834251"/>
      <w:bookmarkEnd w:id="15"/>
    </w:p>
    <w:p>
      <w:pPr>
        <w:pStyle w:val="ListParagraph"/>
        <w:shd w:val="clear" w:color="auto" w:fill="FFFFFF"/>
        <w:tabs>
          <w:tab w:val="clear" w:pos="708"/>
          <w:tab w:val="left" w:pos="1134" w:leader="none"/>
          <w:tab w:val="left" w:pos="1418" w:leader="none"/>
        </w:tabs>
        <w:ind w:left="0" w:firstLine="709"/>
        <w:jc w:val="both"/>
        <w:rPr>
          <w:bCs/>
        </w:rPr>
      </w:pPr>
      <w:r>
        <w:rPr>
          <w:bCs/>
        </w:rPr>
        <w:t xml:space="preserve">3.11.  Индексация Цены Договора не допускается. </w:t>
      </w:r>
    </w:p>
    <w:p>
      <w:pPr>
        <w:pStyle w:val="Normal"/>
        <w:spacing w:lineRule="auto" w:line="240"/>
        <w:ind w:firstLine="709"/>
        <w:rPr>
          <w:sz w:val="24"/>
          <w:szCs w:val="24"/>
        </w:rPr>
      </w:pPr>
      <w:r>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w:t>
      </w:r>
      <w:bookmarkEnd w:id="21"/>
      <w:r>
        <w:rPr>
          <w:sz w:val="24"/>
          <w:szCs w:val="24"/>
        </w:rPr>
        <w:t xml:space="preserve"> Работ.</w:t>
      </w:r>
    </w:p>
    <w:p>
      <w:pPr>
        <w:pStyle w:val="Normal"/>
        <w:spacing w:lineRule="auto" w:line="240"/>
        <w:ind w:firstLine="709"/>
        <w:rPr>
          <w:sz w:val="24"/>
          <w:szCs w:val="24"/>
        </w:rPr>
      </w:pPr>
      <w:r>
        <w:rPr>
          <w:sz w:val="24"/>
          <w:szCs w:val="24"/>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1"/>
          <w:numId w:val="4"/>
        </w:numPr>
        <w:shd w:val="clear" w:color="auto" w:fill="FFFFFF"/>
        <w:tabs>
          <w:tab w:val="clear" w:pos="708"/>
          <w:tab w:val="left" w:pos="0" w:leader="none"/>
          <w:tab w:val="left" w:pos="1134" w:leader="none"/>
        </w:tabs>
        <w:ind w:left="0" w:firstLine="709"/>
        <w:jc w:val="both"/>
        <w:rPr>
          <w:bCs/>
        </w:rPr>
      </w:pPr>
      <w:bookmarkStart w:id="22" w:name="_Ref361336754"/>
      <w:bookmarkStart w:id="23" w:name="_Ref373242517"/>
      <w:bookmarkStart w:id="24" w:name="_Ref361335138"/>
      <w:r>
        <w:rPr>
          <w:bCs/>
        </w:rPr>
        <w:t>По завершении выполнения Работ по каждому Этапу Работ (</w:t>
      </w:r>
      <w:r>
        <w:rPr/>
        <w:t>кроме Этапов Работ по выполнению Инженерных изысканий</w:t>
      </w:r>
      <w:r>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pPr>
        <w:pStyle w:val="ListParagraph"/>
        <w:shd w:val="clear" w:color="auto" w:fill="FFFFFF"/>
        <w:tabs>
          <w:tab w:val="clear" w:pos="708"/>
          <w:tab w:val="left" w:pos="0" w:leader="none"/>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numPr>
          <w:ilvl w:val="1"/>
          <w:numId w:val="4"/>
        </w:numPr>
        <w:shd w:val="clear" w:color="auto" w:fill="FFFFFF"/>
        <w:tabs>
          <w:tab w:val="clear" w:pos="708"/>
          <w:tab w:val="left" w:pos="0" w:leader="none"/>
          <w:tab w:val="left" w:pos="1134" w:leader="none"/>
        </w:tabs>
        <w:ind w:left="0" w:firstLine="709"/>
        <w:jc w:val="both"/>
        <w:rPr>
          <w:bCs/>
        </w:rPr>
      </w:pPr>
      <w:r>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pPr>
        <w:pStyle w:val="ListParagraph"/>
        <w:numPr>
          <w:ilvl w:val="2"/>
          <w:numId w:val="22"/>
        </w:numPr>
        <w:shd w:val="clear" w:color="auto" w:fill="FFFFFF"/>
        <w:tabs>
          <w:tab w:val="clear" w:pos="708"/>
          <w:tab w:val="left" w:pos="0" w:leader="none"/>
          <w:tab w:val="left" w:pos="1418" w:leader="none"/>
        </w:tabs>
        <w:ind w:left="0" w:firstLine="709"/>
        <w:jc w:val="both"/>
        <w:rPr>
          <w:bCs/>
        </w:rPr>
      </w:pPr>
      <w:r>
        <w:rPr>
          <w:bCs/>
        </w:rPr>
        <w:t>Исполнительную смету в 2 (двух) экземплярах;</w:t>
      </w:r>
    </w:p>
    <w:p>
      <w:pPr>
        <w:pStyle w:val="ListParagraph"/>
        <w:numPr>
          <w:ilvl w:val="2"/>
          <w:numId w:val="22"/>
        </w:numPr>
        <w:shd w:val="clear" w:color="auto" w:fill="FFFFFF"/>
        <w:tabs>
          <w:tab w:val="clear" w:pos="708"/>
          <w:tab w:val="left" w:pos="1418" w:leader="none"/>
        </w:tabs>
        <w:ind w:left="0" w:firstLine="709"/>
        <w:jc w:val="both"/>
        <w:rPr>
          <w:bCs/>
        </w:rPr>
      </w:pPr>
      <w:r>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Pr/>
        <w:t>.</w:t>
      </w:r>
      <w:bookmarkEnd w:id="22"/>
      <w:bookmarkEnd w:id="23"/>
      <w:bookmarkEnd w:id="24"/>
    </w:p>
    <w:p>
      <w:pPr>
        <w:pStyle w:val="ListParagraph"/>
        <w:shd w:val="clear" w:color="auto" w:fill="FFFFFF"/>
        <w:tabs>
          <w:tab w:val="clear" w:pos="708"/>
          <w:tab w:val="left" w:pos="1134" w:leader="none"/>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Pr/>
        <w:t xml:space="preserve"> </w:t>
      </w:r>
    </w:p>
    <w:p>
      <w:pPr>
        <w:pStyle w:val="ListParagraph"/>
        <w:shd w:val="clear" w:color="auto" w:fill="FFFFFF"/>
        <w:tabs>
          <w:tab w:val="clear" w:pos="708"/>
          <w:tab w:val="left" w:pos="568" w:leader="none"/>
          <w:tab w:val="left" w:pos="1134" w:leader="none"/>
        </w:tabs>
        <w:ind w:left="0" w:firstLine="709"/>
        <w:jc w:val="both"/>
        <w:rPr/>
      </w:pPr>
      <w:r>
        <w:rPr/>
        <w:t>Подписание Заказчиком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pPr>
        <w:pStyle w:val="ListParagraph"/>
        <w:shd w:val="clear" w:color="auto" w:fill="FFFFFF"/>
        <w:tabs>
          <w:tab w:val="clear" w:pos="708"/>
          <w:tab w:val="left" w:pos="1134" w:leader="none"/>
        </w:tabs>
        <w:ind w:left="0" w:firstLine="709"/>
        <w:jc w:val="both"/>
        <w:rPr/>
      </w:pPr>
      <w:r>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Pr>
          <w:rStyle w:val="FootnoteReference"/>
        </w:rPr>
        <w:footnoteReference w:id="21"/>
      </w:r>
      <w:r>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25"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4"/>
        </w:numPr>
        <w:shd w:val="clear" w:color="auto" w:fill="FFFFFF"/>
        <w:tabs>
          <w:tab w:val="clear" w:pos="708"/>
          <w:tab w:val="left" w:pos="1134" w:leader="none"/>
        </w:tabs>
        <w:ind w:left="0" w:firstLine="709"/>
        <w:jc w:val="both"/>
        <w:rPr>
          <w:bCs/>
        </w:rPr>
      </w:pPr>
      <w:bookmarkStart w:id="26"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7 к Договору по соответствующему Этапу Работ.</w:t>
      </w:r>
      <w:bookmarkEnd w:id="26"/>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widowControl/>
        <w:numPr>
          <w:ilvl w:val="0"/>
          <w:numId w:val="4"/>
        </w:numPr>
        <w:shd w:val="clear" w:color="auto" w:fill="FFFFFF"/>
        <w:tabs>
          <w:tab w:val="clear" w:pos="708"/>
          <w:tab w:val="left" w:pos="284" w:leader="none"/>
        </w:tabs>
        <w:suppressAutoHyphens w:val="true"/>
        <w:bidi w:val="0"/>
        <w:spacing w:lineRule="auto" w:line="240" w:before="0" w:after="0"/>
        <w:ind w:left="2211" w:right="0" w:hanging="2268"/>
        <w:contextualSpacing/>
        <w:jc w:val="center"/>
        <w:rPr>
          <w:highlight w:val="none"/>
          <w:shd w:fill="auto" w:val="clear"/>
        </w:rPr>
      </w:pPr>
      <w:r>
        <w:rPr>
          <w:b/>
          <w:sz w:val="24"/>
          <w:szCs w:val="24"/>
          <w:shd w:fill="auto" w:val="clear"/>
        </w:rPr>
        <w:t>Независимая гарантия</w:t>
      </w:r>
    </w:p>
    <w:p>
      <w:pPr>
        <w:pStyle w:val="ListParagraph"/>
        <w:widowControl/>
        <w:numPr>
          <w:ilvl w:val="1"/>
          <w:numId w:val="4"/>
        </w:numPr>
        <w:tabs>
          <w:tab w:val="clear" w:pos="708"/>
          <w:tab w:val="left" w:pos="1134" w:leader="none"/>
        </w:tabs>
        <w:suppressAutoHyphens w:val="true"/>
        <w:bidi w:val="0"/>
        <w:spacing w:lineRule="auto" w:line="240" w:before="0" w:after="0"/>
        <w:ind w:left="0" w:right="0" w:firstLine="737"/>
        <w:contextualSpacing/>
        <w:jc w:val="both"/>
        <w:rPr/>
      </w:pPr>
      <w:r>
        <w:rPr>
          <w:bCs/>
          <w:sz w:val="24"/>
          <w:szCs w:val="24"/>
          <w:shd w:fill="auto" w:val="clear"/>
        </w:rPr>
        <w:t xml:space="preserve">Независимая гарантия должна соответствовать следующим требованиям: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rPr>
        <w:t xml:space="preserve">- Независимая гарантия не может быть отозвана выдавшим ее Гарантом;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rPr>
        <w:t xml:space="preserve">- Бенефициар по Независимой гарантии – Заказчик, принципал – Исполнитель;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rPr>
        <w:t xml:space="preserve">- сумма Независимой гарантии должна быть выражена в валюте расчетов по Договору; - сумма Независимой гарантии по Договору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rPr>
        <w:t xml:space="preserve">- </w:t>
      </w:r>
      <w:r>
        <w:rPr>
          <w:sz w:val="24"/>
          <w:szCs w:val="24"/>
          <w:shd w:fill="auto" w:val="clear"/>
        </w:rPr>
        <w:t xml:space="preserve">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rPr>
        <w:t xml:space="preserve">- срок окончания Независимой гарантии  по Договору – не ранее 70 (семидесяти) календарных дней после наступления даты завершения Этапа Услуг, установленной Договором. </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lang w:val="ru-RU"/>
        </w:rPr>
        <w:t xml:space="preserve">Сумма Независимой гарантии </w:t>
      </w:r>
      <w:r>
        <w:rPr>
          <w:sz w:val="24"/>
          <w:szCs w:val="24"/>
          <w:shd w:fill="auto" w:val="clear"/>
          <w:lang w:val="ru-RU"/>
        </w:rPr>
        <w:t xml:space="preserve"> </w:t>
      </w:r>
      <w:r>
        <w:rPr>
          <w:bCs/>
          <w:sz w:val="24"/>
          <w:szCs w:val="24"/>
          <w:shd w:fill="auto" w:val="clear"/>
          <w:lang w:val="ru-RU"/>
        </w:rPr>
        <w:t>по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pPr>
        <w:pStyle w:val="ListParagraph"/>
        <w:widowControl/>
        <w:numPr>
          <w:ilvl w:val="0"/>
          <w:numId w:val="0"/>
        </w:numPr>
        <w:tabs>
          <w:tab w:val="clear" w:pos="708"/>
          <w:tab w:val="left" w:pos="1134" w:leader="none"/>
        </w:tabs>
        <w:suppressAutoHyphens w:val="true"/>
        <w:bidi w:val="0"/>
        <w:spacing w:lineRule="auto" w:line="240" w:before="0" w:after="0"/>
        <w:ind w:left="0" w:right="0" w:hanging="0"/>
        <w:contextualSpacing/>
        <w:jc w:val="both"/>
        <w:rPr/>
      </w:pPr>
      <w:r>
        <w:rPr>
          <w:bCs/>
          <w:sz w:val="24"/>
          <w:szCs w:val="24"/>
          <w:shd w:fill="auto" w:val="clear"/>
          <w:lang w:val="ru-RU"/>
        </w:rPr>
        <w:t>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Выбор формы направления требования, указанного в подпунктах «а» и «б» пункта 5.2 Договора, осуществляется Бенефициаром самостоятельно.</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расчет суммы, включаемой в требование об уплате денежной суммы по Независимой гарантии;</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документ, содержащий указание на нарушения Принципалом обязательств, предусмотренных Договором;</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Требование об уплате денежной суммы по Независимой гарантии по Договору может содержать указание на существо допущенных Исполнителем нарушений, в том числе в следующих случаях (включая, но не ограничиваясь):</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отказа Исполнителя от исполнения обязательств по Договору, в том числе одностороннего отказа от Договора;отказа Исполнителя от возврата неотработанного аванса при досрочном прекращении Договора / признании Договора недействительным;</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нарушения Исполнителем сроков оказания Услуг, установленных Графиком оказания Услуг, более чем на 60 (шестьдесят) календарных дней;утраты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xml:space="preserve">- 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введения арбитражным судом процедуры несостоятельности (банкротства) в отношении Исполнителя;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признания Договора недействительным по причинам отсутствия необходимых корпоративных одобрений у Исполнителя;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непредоставления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Текст Независимой гарантии должен содержать перечень Документов к требованию.</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Текст Независимой гарантии должен содержать следующие дополнительные условия:</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Расходы, возникающие в связи с перечислением Гарантом денежных средств по Независимой гарантии, несет Гарант.</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Споры, возникающие в связи с исполнением обязательств по Независимой гарантии, рассматриваются в Арбитражном суде Амурской области.</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ListParagraph"/>
        <w:numPr>
          <w:ilvl w:val="2"/>
          <w:numId w:val="4"/>
        </w:numPr>
        <w:tabs>
          <w:tab w:val="clear" w:pos="708"/>
          <w:tab w:val="left" w:pos="1134" w:leader="none"/>
        </w:tabs>
        <w:ind w:left="0" w:firstLine="709"/>
        <w:jc w:val="both"/>
        <w:rPr>
          <w:highlight w:val="none"/>
          <w:shd w:fill="auto" w:val="clear"/>
        </w:rPr>
      </w:pPr>
      <w:r>
        <w:rPr>
          <w:sz w:val="24"/>
          <w:szCs w:val="24"/>
          <w:shd w:fill="auto" w:val="clear"/>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Независимая гарантия не должна содержать условия: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numPr>
          <w:ilvl w:val="1"/>
          <w:numId w:val="4"/>
        </w:numPr>
        <w:tabs>
          <w:tab w:val="clear" w:pos="708"/>
          <w:tab w:val="left" w:pos="1134" w:leader="none"/>
        </w:tabs>
        <w:ind w:left="0" w:firstLine="709"/>
        <w:jc w:val="both"/>
        <w:rPr>
          <w:highlight w:val="none"/>
          <w:shd w:fill="auto" w:val="clear"/>
        </w:rPr>
      </w:pPr>
      <w:r>
        <w:rPr>
          <w:bCs/>
          <w:sz w:val="24"/>
          <w:szCs w:val="24"/>
          <w:shd w:fill="auto" w:val="clear"/>
        </w:rPr>
        <w:t xml:space="preserve">В случаях: </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Исполнитель обязан предоставить Заказчику новую Независимую гарантию,</w:t>
      </w:r>
      <w:r>
        <w:rPr>
          <w:sz w:val="24"/>
          <w:szCs w:val="24"/>
          <w:shd w:fill="auto" w:val="clear"/>
        </w:rPr>
        <w:t xml:space="preserve"> </w:t>
      </w:r>
      <w:r>
        <w:rPr>
          <w:bCs/>
          <w:sz w:val="24"/>
          <w:szCs w:val="24"/>
          <w:shd w:fill="auto" w:val="clear"/>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numPr>
          <w:ilvl w:val="0"/>
          <w:numId w:val="0"/>
        </w:numPr>
        <w:tabs>
          <w:tab w:val="clear" w:pos="708"/>
          <w:tab w:val="left" w:pos="1134" w:leader="none"/>
        </w:tabs>
        <w:ind w:left="0" w:hanging="0"/>
        <w:jc w:val="both"/>
        <w:rPr>
          <w:highlight w:val="none"/>
          <w:shd w:fill="auto" w:val="clear"/>
        </w:rPr>
      </w:pPr>
      <w:r>
        <w:rPr>
          <w:bCs/>
          <w:sz w:val="24"/>
          <w:szCs w:val="24"/>
          <w:shd w:fill="auto" w:val="clear"/>
        </w:rPr>
        <w:t>- 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Pr>
          <w:sz w:val="24"/>
          <w:szCs w:val="24"/>
          <w:shd w:fill="auto" w:val="clear"/>
        </w:rPr>
        <w:t>.</w:t>
      </w:r>
    </w:p>
    <w:p>
      <w:pPr>
        <w:pStyle w:val="ListParagraph"/>
        <w:numPr>
          <w:ilvl w:val="1"/>
          <w:numId w:val="4"/>
        </w:numPr>
        <w:tabs>
          <w:tab w:val="clear" w:pos="708"/>
          <w:tab w:val="left" w:pos="1134" w:leader="none"/>
        </w:tabs>
        <w:ind w:left="0" w:firstLine="709"/>
        <w:jc w:val="both"/>
        <w:rPr>
          <w:highlight w:val="none"/>
          <w:shd w:fill="auto" w:val="clear"/>
        </w:rPr>
      </w:pPr>
      <w:r>
        <w:rPr>
          <w:sz w:val="24"/>
          <w:szCs w:val="24"/>
          <w:shd w:fill="auto" w:val="clear"/>
        </w:rPr>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numPr>
          <w:ilvl w:val="1"/>
          <w:numId w:val="4"/>
        </w:numPr>
        <w:shd w:val="clear" w:color="auto" w:fill="FFFFFF"/>
        <w:tabs>
          <w:tab w:val="clear" w:pos="708"/>
          <w:tab w:val="left" w:pos="1134" w:leader="none"/>
        </w:tabs>
        <w:ind w:left="0" w:firstLine="709"/>
        <w:jc w:val="both"/>
        <w:rPr>
          <w:b w:val="false"/>
          <w:bCs w:val="false"/>
          <w:highlight w:val="none"/>
          <w:shd w:fill="auto" w:val="clear"/>
        </w:rPr>
      </w:pPr>
      <w:r>
        <w:rPr>
          <w:b w:val="false"/>
          <w:bCs w:val="false"/>
          <w:sz w:val="24"/>
          <w:szCs w:val="24"/>
          <w:shd w:fill="auto" w:val="clear"/>
        </w:rPr>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w:t>
      </w:r>
    </w:p>
    <w:p>
      <w:pPr>
        <w:pStyle w:val="ListParagraph"/>
        <w:shd w:val="clear" w:color="auto" w:fill="FFFFFF"/>
        <w:tabs>
          <w:tab w:val="clear" w:pos="708"/>
          <w:tab w:val="left" w:pos="1134" w:leader="none"/>
        </w:tabs>
        <w:ind w:left="709" w:hanging="0"/>
        <w:jc w:val="both"/>
        <w:rPr>
          <w:b w:val="false"/>
          <w:bCs w:val="false"/>
        </w:rPr>
      </w:pPr>
      <w:r>
        <w:rPr>
          <w:b w:val="false"/>
          <w:bCs w:val="false"/>
        </w:rPr>
      </w:r>
    </w:p>
    <w:p>
      <w:pPr>
        <w:pStyle w:val="ListParagraph"/>
        <w:numPr>
          <w:ilvl w:val="0"/>
          <w:numId w:val="4"/>
        </w:numPr>
        <w:shd w:val="clear" w:color="auto" w:fill="FFFFFF"/>
        <w:tabs>
          <w:tab w:val="clear" w:pos="708"/>
          <w:tab w:val="left" w:pos="284" w:leader="none"/>
        </w:tabs>
        <w:ind w:left="0" w:hanging="0"/>
        <w:jc w:val="center"/>
        <w:rPr>
          <w:b/>
          <w:bCs/>
        </w:rPr>
      </w:pPr>
      <w:r>
        <w:rPr>
          <w:b/>
          <w:bCs/>
        </w:rPr>
        <w:t>Ответственность Сторон</w:t>
      </w:r>
    </w:p>
    <w:p>
      <w:pPr>
        <w:pStyle w:val="Normal"/>
        <w:numPr>
          <w:ilvl w:val="1"/>
          <w:numId w:val="4"/>
        </w:numPr>
        <w:tabs>
          <w:tab w:val="clear" w:pos="708"/>
          <w:tab w:val="left" w:pos="1134" w:leader="none"/>
        </w:tabs>
        <w:spacing w:lineRule="auto" w:line="240"/>
        <w:ind w:left="0" w:firstLine="709"/>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Неустойки в размере 0,1 (ноль целых и одна десятая) процента от стоимости Этапа Работ за каждый день просрочки;</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p>
    <w:p>
      <w:pPr>
        <w:pStyle w:val="Normal"/>
        <w:numPr>
          <w:ilvl w:val="1"/>
          <w:numId w:val="4"/>
        </w:numPr>
        <w:tabs>
          <w:tab w:val="clear" w:pos="708"/>
          <w:tab w:val="left" w:pos="1134" w:leader="none"/>
        </w:tabs>
        <w:spacing w:lineRule="auto" w:line="240"/>
        <w:ind w:left="0" w:firstLine="709"/>
        <w:rPr>
          <w:sz w:val="24"/>
          <w:szCs w:val="24"/>
        </w:rPr>
      </w:pPr>
      <w:r>
        <w:rPr>
          <w:sz w:val="24"/>
          <w:szCs w:val="24"/>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pPr>
        <w:pStyle w:val="Normal"/>
        <w:widowControl w:val="false"/>
        <w:numPr>
          <w:ilvl w:val="1"/>
          <w:numId w:val="4"/>
        </w:numPr>
        <w:shd w:val="clear" w:color="auto" w:fill="FFFFFF"/>
        <w:tabs>
          <w:tab w:val="clear" w:pos="708"/>
          <w:tab w:val="left" w:pos="1134" w:leader="none"/>
        </w:tabs>
        <w:spacing w:lineRule="auto" w:line="240"/>
        <w:ind w:left="0" w:firstLine="709"/>
        <w:rPr>
          <w:sz w:val="24"/>
          <w:szCs w:val="24"/>
        </w:rPr>
      </w:pPr>
      <w:r>
        <w:rPr>
          <w:kern w:val="2"/>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не предоставление либо несвоевременное предоставление / переоформление Подрядчиком </w:t>
      </w:r>
      <w:r>
        <w:rPr>
          <w:bCs/>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Pr>
          <w:rStyle w:val="FootnoteReference"/>
          <w:bCs/>
        </w:rPr>
        <w:footnoteReference w:id="22"/>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Pr>
          <w:color w:val="000000"/>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t>В случае нарушения Подрядчиком сроков исполнения обязательств, Заказчик вправе потребовать уплаты Подрядчиком</w:t>
      </w:r>
      <w:r>
        <w:rPr>
          <w:b/>
          <w:bCs/>
        </w:rPr>
        <w:t xml:space="preserve"> неустойки</w:t>
      </w:r>
      <w:r>
        <w:rPr>
          <w:b/>
        </w:rPr>
        <w:t xml:space="preserve"> в размере </w:t>
      </w:r>
      <w:r>
        <w:rPr>
          <w:b/>
          <w:bCs/>
        </w:rPr>
        <w:t xml:space="preserve">0,02 (ноль целых и две сотых) процента от стоимости Этапа Работ, в отношении которого </w:t>
      </w:r>
      <w:r>
        <w:rPr>
          <w:b/>
        </w:rPr>
        <w:t xml:space="preserve">Подрядчиком </w:t>
      </w:r>
      <w:r>
        <w:rPr>
          <w:b/>
          <w:bCs/>
        </w:rPr>
        <w:t>должен быть разработан детальный календарно-сетевой график, за каждый день просрочки, но не менее 50 000 (пятидесяти тысяч) рублей.</w:t>
      </w:r>
    </w:p>
    <w:p>
      <w:pPr>
        <w:pStyle w:val="Normal"/>
        <w:shd w:val="clear" w:color="auto" w:fill="FFFFFF"/>
        <w:tabs>
          <w:tab w:val="clear" w:pos="708"/>
          <w:tab w:val="left" w:pos="1134" w:leader="none"/>
        </w:tabs>
        <w:spacing w:lineRule="auto" w:line="240"/>
        <w:ind w:firstLine="709"/>
        <w:rPr>
          <w:bCs/>
          <w:sz w:val="24"/>
          <w:szCs w:val="24"/>
        </w:rPr>
      </w:pPr>
      <w:r>
        <w:rPr>
          <w:sz w:val="24"/>
          <w:szCs w:val="24"/>
        </w:rPr>
        <w:t>В случае нарушения Подрядчиком сроков исполнения обязательств, Заказчик вправе потребовать уплаты Подрядчиком штрафа в размере 15 000 (Пятнадцать тысяч) рублей за каждый случай нарушения</w:t>
      </w:r>
      <w:r>
        <w:rPr>
          <w:rStyle w:val="FootnoteReference"/>
          <w:sz w:val="24"/>
          <w:szCs w:val="24"/>
        </w:rPr>
        <w:footnoteReference w:id="23"/>
      </w:r>
      <w:r>
        <w:rPr>
          <w:sz w:val="24"/>
          <w:szCs w:val="24"/>
        </w:rPr>
        <w:t>.</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8"/>
          <w:tab w:val="left" w:pos="1134" w:leader="none"/>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r>
        <w:rPr>
          <w:bCs/>
        </w:rPr>
        <w:t xml:space="preserve"> </w:t>
      </w:r>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4"/>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8"/>
          <w:tab w:val="left" w:pos="1701" w:leader="none"/>
        </w:tabs>
        <w:ind w:left="0" w:firstLine="709"/>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8"/>
          <w:tab w:val="left" w:pos="1134" w:leader="none"/>
        </w:tabs>
        <w:ind w:left="0" w:firstLine="709"/>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1"/>
          <w:numId w:val="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8"/>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8"/>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ListParagraph"/>
        <w:numPr>
          <w:ilvl w:val="1"/>
          <w:numId w:val="4"/>
        </w:numPr>
        <w:shd w:val="clear" w:color="auto" w:fill="FFFFFF"/>
        <w:tabs>
          <w:tab w:val="clear" w:pos="708"/>
          <w:tab w:val="left" w:pos="1134" w:leader="none"/>
        </w:tabs>
        <w:ind w:left="0" w:firstLine="709"/>
        <w:jc w:val="both"/>
        <w:rPr>
          <w:bCs/>
        </w:rPr>
      </w:pPr>
      <w:bookmarkStart w:id="3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pPr>
        <w:pStyle w:val="ListParagraph"/>
        <w:numPr>
          <w:ilvl w:val="1"/>
          <w:numId w:val="4"/>
        </w:numPr>
        <w:shd w:val="clear" w:color="auto" w:fill="FFFFFF"/>
        <w:tabs>
          <w:tab w:val="clear" w:pos="708"/>
          <w:tab w:val="left" w:pos="1134" w:leader="none"/>
        </w:tabs>
        <w:ind w:left="0" w:firstLine="709"/>
        <w:jc w:val="both"/>
        <w:rPr>
          <w:bCs/>
        </w:rPr>
      </w:pPr>
      <w:bookmarkStart w:id="32"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pPr>
        <w:pStyle w:val="ListParagraph"/>
        <w:numPr>
          <w:ilvl w:val="1"/>
          <w:numId w:val="4"/>
        </w:numPr>
        <w:shd w:val="clear" w:color="auto" w:fill="FFFFFF"/>
        <w:tabs>
          <w:tab w:val="clear" w:pos="708"/>
          <w:tab w:val="left" w:pos="1134" w:leader="none"/>
        </w:tabs>
        <w:ind w:left="0" w:firstLine="709"/>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pPr>
        <w:pStyle w:val="ListParagraph"/>
        <w:numPr>
          <w:ilvl w:val="1"/>
          <w:numId w:val="4"/>
        </w:numPr>
        <w:shd w:val="clear" w:color="auto" w:fill="FFFFFF"/>
        <w:tabs>
          <w:tab w:val="clear" w:pos="708"/>
          <w:tab w:val="left" w:pos="1134" w:leader="none"/>
        </w:tabs>
        <w:ind w:left="0" w:firstLine="709"/>
        <w:jc w:val="both"/>
        <w:rPr>
          <w:bCs/>
        </w:rPr>
      </w:pPr>
      <w:bookmarkStart w:id="34"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pPr>
        <w:pStyle w:val="ListParagraph"/>
        <w:numPr>
          <w:ilvl w:val="1"/>
          <w:numId w:val="4"/>
        </w:numPr>
        <w:shd w:val="clear" w:color="auto" w:fill="FFFFFF"/>
        <w:tabs>
          <w:tab w:val="clear" w:pos="708"/>
          <w:tab w:val="left" w:pos="1134" w:leader="none"/>
        </w:tabs>
        <w:ind w:left="0" w:firstLine="709"/>
        <w:jc w:val="both"/>
        <w:rPr>
          <w:bCs/>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выполняющих инженерные изыскания / осуществляющих подготовку проектной документации</w:t>
      </w:r>
      <w:r>
        <w:rPr>
          <w:rStyle w:val="FootnoteReference"/>
        </w:rPr>
        <w:footnoteReference w:id="24"/>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Pr>
          <w:rStyle w:val="FootnoteReference"/>
        </w:rPr>
        <w:footnoteReference w:id="25"/>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4"/>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30 (тридцать) календарных дней</w:t>
      </w:r>
      <w:r>
        <w:rPr>
          <w:rStyle w:val="FootnoteReference"/>
        </w:rPr>
        <w:footnoteReference w:id="26"/>
      </w:r>
      <w:r>
        <w:rPr/>
        <w:t xml:space="preserve"> / 60 (шестьдесят) календарных дней</w:t>
      </w:r>
      <w:r>
        <w:rPr>
          <w:rStyle w:val="FootnoteReference"/>
        </w:rPr>
        <w:footnoteReference w:id="27"/>
      </w:r>
      <w:r>
        <w:rPr/>
        <w:t xml:space="preserve"> по причинам, не зависящим от Заказчика;</w:t>
      </w:r>
    </w:p>
    <w:p>
      <w:pPr>
        <w:pStyle w:val="ListParagraph"/>
        <w:numPr>
          <w:ilvl w:val="0"/>
          <w:numId w:val="9"/>
        </w:numPr>
        <w:tabs>
          <w:tab w:val="clear" w:pos="708"/>
          <w:tab w:val="left" w:pos="1134" w:leader="none"/>
        </w:tabs>
        <w:ind w:left="0" w:right="23" w:firstLine="709"/>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pPr>
      <w:r>
        <w:rPr/>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Pr>
          <w:rStyle w:val="FootnoteCharacters"/>
        </w:rPr>
        <w:t xml:space="preserve"> </w:t>
      </w:r>
      <w:r>
        <w:rPr>
          <w:rStyle w:val="FootnoteReference"/>
        </w:rPr>
        <w:footnoteReference w:id="28"/>
      </w:r>
      <w:r>
        <w:rPr>
          <w:rStyle w:val="FootnoteCharacters"/>
          <w:position w:val="0"/>
          <w:sz w:val="24"/>
          <w:sz w:val="24"/>
          <w:vertAlign w:val="baseline"/>
        </w:rPr>
        <w:t>;</w:t>
      </w:r>
    </w:p>
    <w:p>
      <w:pPr>
        <w:pStyle w:val="ListParagraph"/>
        <w:numPr>
          <w:ilvl w:val="0"/>
          <w:numId w:val="9"/>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29"/>
      </w:r>
      <w:r>
        <w:rPr/>
        <w:t>;</w:t>
      </w:r>
    </w:p>
    <w:p>
      <w:pPr>
        <w:pStyle w:val="ListParagraph"/>
        <w:numPr>
          <w:ilvl w:val="0"/>
          <w:numId w:val="9"/>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9"/>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и в согласованные Сторонами сроки:</w:t>
      </w:r>
    </w:p>
    <w:p>
      <w:pPr>
        <w:pStyle w:val="ListParagraph"/>
        <w:numPr>
          <w:ilvl w:val="0"/>
          <w:numId w:val="19"/>
        </w:numPr>
        <w:shd w:val="clear" w:color="auto" w:fill="FFFFFF"/>
        <w:tabs>
          <w:tab w:val="clear" w:pos="708"/>
          <w:tab w:val="left" w:pos="1418" w:leader="none"/>
        </w:tabs>
        <w:ind w:left="0" w:firstLine="709"/>
        <w:jc w:val="both"/>
        <w:rPr/>
      </w:pPr>
      <w:r>
        <w:rPr/>
        <w:t>передать Заказчику результаты выполненных Работ, техническую и иную полученную документацию</w:t>
      </w:r>
      <w:r>
        <w:rPr>
          <w:bCs/>
        </w:rPr>
        <w:t>;</w:t>
      </w:r>
    </w:p>
    <w:p>
      <w:pPr>
        <w:pStyle w:val="ListParagraph"/>
        <w:numPr>
          <w:ilvl w:val="0"/>
          <w:numId w:val="19"/>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pPr>
        <w:pStyle w:val="ListParagraph"/>
        <w:numPr>
          <w:ilvl w:val="1"/>
          <w:numId w:val="4"/>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rPr>
        <w:footnoteReference w:id="30"/>
      </w:r>
    </w:p>
    <w:p>
      <w:pPr>
        <w:pStyle w:val="ListParagraph"/>
        <w:numPr>
          <w:ilvl w:val="1"/>
          <w:numId w:val="4"/>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pPr>
        <w:pStyle w:val="ListParagraph"/>
        <w:numPr>
          <w:ilvl w:val="1"/>
          <w:numId w:val="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1134" w:leader="none"/>
        </w:tabs>
        <w:ind w:left="0" w:firstLine="709"/>
        <w:jc w:val="both"/>
        <w:rPr/>
      </w:pPr>
      <w:bookmarkStart w:id="36"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16.8 Договора.</w:t>
      </w:r>
      <w:bookmarkEnd w:id="36"/>
      <w:r>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37"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38"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16.8.1,16.8.2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4"/>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Календарный график выполнения Работ;</w:t>
      </w:r>
    </w:p>
    <w:p>
      <w:pPr>
        <w:pStyle w:val="ListParagraph"/>
        <w:shd w:val="clear" w:color="auto" w:fill="FFFFFF"/>
        <w:ind w:left="0" w:hanging="0"/>
        <w:jc w:val="both"/>
        <w:rPr>
          <w:bCs/>
        </w:rPr>
      </w:pPr>
      <w:r>
        <w:rPr>
          <w:bCs/>
        </w:rPr>
        <w:t>Приложение № 3 – Сводная смета с приложениями;</w:t>
      </w:r>
    </w:p>
    <w:p>
      <w:pPr>
        <w:pStyle w:val="ListParagraph"/>
        <w:shd w:val="clear" w:color="auto" w:fill="FFFFFF"/>
        <w:ind w:left="0" w:hanging="0"/>
        <w:jc w:val="both"/>
        <w:rPr>
          <w:bCs/>
        </w:rPr>
      </w:pPr>
      <w:r>
        <w:rPr>
          <w:bCs/>
        </w:rPr>
        <w:t xml:space="preserve">Приложение № 4.1 – </w:t>
      </w:r>
      <w:r>
        <w:rPr>
          <w:bCs/>
          <w:iCs/>
        </w:rPr>
        <w:t xml:space="preserve">Форма Акта </w:t>
      </w:r>
      <w:r>
        <w:rPr>
          <w:bCs/>
        </w:rPr>
        <w:t>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hanging="0"/>
        <w:jc w:val="both"/>
        <w:rPr>
          <w:bCs/>
        </w:rPr>
      </w:pPr>
      <w:r>
        <w:rPr>
          <w:bCs/>
        </w:rPr>
        <w:t>Приложение № 4.2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hanging="0"/>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7 – Форма Акта сдачи-приемки выполненных работ;</w:t>
      </w:r>
    </w:p>
    <w:p>
      <w:pPr>
        <w:pStyle w:val="ListParagraph"/>
        <w:shd w:val="clear" w:color="auto" w:fill="FFFFFF"/>
        <w:ind w:left="0" w:hanging="0"/>
        <w:jc w:val="both"/>
        <w:rPr>
          <w:bCs/>
        </w:rPr>
      </w:pPr>
      <w:r>
        <w:rPr>
          <w:bCs/>
        </w:rPr>
        <w:t>Приложение № 8 – Форма справки</w:t>
      </w:r>
      <w:r>
        <w:rPr>
          <w:b/>
          <w:bCs/>
          <w:color w:val="000000"/>
        </w:rPr>
        <w:t xml:space="preserve"> </w:t>
      </w:r>
      <w:r>
        <w:rPr>
          <w:bCs/>
        </w:rPr>
        <w:t>о заключенных Подрядчиком договорах с Субподрядчиками;</w:t>
      </w:r>
    </w:p>
    <w:p>
      <w:pPr>
        <w:pStyle w:val="ListParagraph"/>
        <w:shd w:val="clear" w:color="auto" w:fill="FFFFFF"/>
        <w:ind w:left="0" w:hanging="0"/>
        <w:jc w:val="both"/>
        <w:rPr>
          <w:bCs/>
        </w:rPr>
      </w:pPr>
      <w:r>
        <w:rPr/>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Cs/>
        </w:rPr>
      </w:pPr>
      <w:r>
        <w:rPr>
          <w:b/>
          <w:bCs/>
        </w:rPr>
      </w:r>
    </w:p>
    <w:tbl>
      <w:tblPr>
        <w:tblW w:w="9747" w:type="dxa"/>
        <w:jc w:val="left"/>
        <w:tblInd w:w="-108" w:type="dxa"/>
        <w:tblLayout w:type="fixed"/>
        <w:tblCellMar>
          <w:top w:w="0" w:type="dxa"/>
          <w:left w:w="108" w:type="dxa"/>
          <w:bottom w:w="0" w:type="dxa"/>
          <w:right w:w="108" w:type="dxa"/>
        </w:tblCellMar>
        <w:tblLook w:val="01e0" w:noVBand="0" w:noHBand="0" w:lastColumn="1" w:firstColumn="1" w:lastRow="1" w:firstRow="1"/>
      </w:tblPr>
      <w:tblGrid>
        <w:gridCol w:w="235"/>
        <w:gridCol w:w="4539"/>
        <w:gridCol w:w="34"/>
        <w:gridCol w:w="102"/>
        <w:gridCol w:w="4366"/>
        <w:gridCol w:w="236"/>
        <w:gridCol w:w="234"/>
      </w:tblGrid>
      <w:tr>
        <w:trPr/>
        <w:tc>
          <w:tcPr>
            <w:tcW w:w="235" w:type="dxa"/>
            <w:tcBorders/>
          </w:tcPr>
          <w:p>
            <w:pPr>
              <w:pStyle w:val="Normal"/>
              <w:widowControl w:val="false"/>
              <w:spacing w:lineRule="auto" w:line="240"/>
              <w:ind w:hanging="0"/>
              <w:rPr>
                <w:sz w:val="24"/>
                <w:szCs w:val="24"/>
              </w:rPr>
            </w:pPr>
            <w:r>
              <w:rPr>
                <w:sz w:val="24"/>
                <w:szCs w:val="24"/>
              </w:rPr>
            </w:r>
          </w:p>
        </w:tc>
        <w:tc>
          <w:tcPr>
            <w:tcW w:w="4675" w:type="dxa"/>
            <w:gridSpan w:val="3"/>
            <w:tcBorders/>
          </w:tcPr>
          <w:p>
            <w:pPr>
              <w:pStyle w:val="Normal"/>
              <w:widowControl w:val="false"/>
              <w:spacing w:lineRule="auto" w:line="240"/>
              <w:ind w:hanging="0"/>
              <w:rPr>
                <w:sz w:val="24"/>
                <w:szCs w:val="24"/>
              </w:rPr>
            </w:pPr>
            <w:r>
              <w:rPr>
                <w:sz w:val="24"/>
                <w:szCs w:val="24"/>
              </w:rPr>
              <w:t>ЗАКАЗЧИК:</w:t>
            </w:r>
          </w:p>
        </w:tc>
        <w:tc>
          <w:tcPr>
            <w:tcW w:w="4836" w:type="dxa"/>
            <w:gridSpan w:val="3"/>
            <w:tcBorders/>
          </w:tcPr>
          <w:p>
            <w:pPr>
              <w:pStyle w:val="Normal"/>
              <w:widowControl w:val="false"/>
              <w:spacing w:lineRule="auto" w:line="240"/>
              <w:ind w:hanging="0"/>
              <w:rPr>
                <w:sz w:val="24"/>
                <w:szCs w:val="24"/>
              </w:rPr>
            </w:pPr>
            <w:r>
              <w:rPr>
                <w:sz w:val="24"/>
                <w:szCs w:val="24"/>
              </w:rPr>
              <w:t>ПОДРЯДЧИК:</w:t>
            </w:r>
          </w:p>
          <w:p>
            <w:pPr>
              <w:pStyle w:val="Normal"/>
              <w:widowControl w:val="false"/>
              <w:spacing w:lineRule="auto" w:line="240"/>
              <w:ind w:hanging="0"/>
              <w:rPr>
                <w:sz w:val="24"/>
                <w:szCs w:val="24"/>
              </w:rPr>
            </w:pPr>
            <w:r>
              <w:rPr>
                <w:sz w:val="24"/>
                <w:szCs w:val="24"/>
              </w:rPr>
            </w:r>
          </w:p>
        </w:tc>
      </w:tr>
      <w:tr>
        <w:trPr/>
        <w:tc>
          <w:tcPr>
            <w:tcW w:w="4808" w:type="dxa"/>
            <w:gridSpan w:val="3"/>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468"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c>
          <w:tcPr>
            <w:tcW w:w="236" w:type="dxa"/>
            <w:tcBorders/>
          </w:tcPr>
          <w:p>
            <w:pPr>
              <w:pStyle w:val="Normal"/>
              <w:widowControl w:val="false"/>
              <w:rPr/>
            </w:pPr>
            <w:r>
              <w:rPr/>
            </w:r>
          </w:p>
        </w:tc>
        <w:tc>
          <w:tcPr>
            <w:tcW w:w="234" w:type="dxa"/>
            <w:tcBorders/>
          </w:tcPr>
          <w:p>
            <w:pPr>
              <w:pStyle w:val="Normal"/>
              <w:widowControl w:val="false"/>
              <w:rPr/>
            </w:pPr>
            <w:r>
              <w:rPr/>
            </w:r>
          </w:p>
        </w:tc>
      </w:tr>
      <w:tr>
        <w:trPr/>
        <w:tc>
          <w:tcPr>
            <w:tcW w:w="235" w:type="dxa"/>
            <w:tcBorders/>
          </w:tcPr>
          <w:p>
            <w:pPr>
              <w:pStyle w:val="Normal"/>
              <w:widowControl w:val="false"/>
              <w:spacing w:lineRule="auto" w:line="240"/>
              <w:ind w:hanging="0"/>
              <w:jc w:val="left"/>
              <w:rPr>
                <w:sz w:val="24"/>
                <w:szCs w:val="24"/>
              </w:rPr>
            </w:pPr>
            <w:r>
              <w:rPr>
                <w:sz w:val="24"/>
                <w:szCs w:val="24"/>
              </w:rPr>
            </w:r>
          </w:p>
        </w:tc>
        <w:tc>
          <w:tcPr>
            <w:tcW w:w="4675" w:type="dxa"/>
            <w:gridSpan w:val="3"/>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tc>
        <w:tc>
          <w:tcPr>
            <w:tcW w:w="4836" w:type="dxa"/>
            <w:gridSpan w:val="3"/>
            <w:tcBorders/>
            <w:shd w:color="auto" w:fill="BFBFBF" w:themeFill="background1" w:themeFillShade="bf" w:val="clear"/>
          </w:tcPr>
          <w:p>
            <w:pPr>
              <w:pStyle w:val="Normal"/>
              <w:widowControl w:val="false"/>
              <w:spacing w:lineRule="auto" w:line="240"/>
              <w:ind w:hanging="0"/>
              <w:rPr>
                <w:sz w:val="24"/>
                <w:szCs w:val="24"/>
              </w:rPr>
            </w:pPr>
            <w:r>
              <w:rPr>
                <w:sz w:val="24"/>
                <w:szCs w:val="24"/>
              </w:rPr>
            </w:r>
          </w:p>
        </w:tc>
      </w:tr>
      <w:tr>
        <w:trPr/>
        <w:tc>
          <w:tcPr>
            <w:tcW w:w="235" w:type="dxa"/>
            <w:tcBorders/>
          </w:tcPr>
          <w:p>
            <w:pPr>
              <w:pStyle w:val="Normal"/>
              <w:widowControl w:val="false"/>
              <w:spacing w:lineRule="auto" w:line="240"/>
              <w:ind w:hanging="0"/>
              <w:jc w:val="left"/>
              <w:rPr>
                <w:sz w:val="24"/>
                <w:szCs w:val="24"/>
              </w:rPr>
            </w:pPr>
            <w:r>
              <w:rPr>
                <w:sz w:val="24"/>
                <w:szCs w:val="24"/>
              </w:rPr>
            </w:r>
          </w:p>
        </w:tc>
        <w:tc>
          <w:tcPr>
            <w:tcW w:w="4539"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38" w:type="dxa"/>
            <w:gridSpan w:val="4"/>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c>
          <w:tcPr>
            <w:tcW w:w="234" w:type="dxa"/>
            <w:tcBorders/>
          </w:tcPr>
          <w:p>
            <w:pPr>
              <w:pStyle w:val="Normal"/>
              <w:widowControl w:val="false"/>
              <w:rPr/>
            </w:pPr>
            <w:r>
              <w:rPr/>
            </w:r>
          </w:p>
        </w:tc>
      </w:tr>
    </w:tbl>
    <w:p>
      <w:pPr>
        <w:sectPr>
          <w:footnotePr>
            <w:numFmt w:val="decimal"/>
          </w:footnotePr>
          <w:type w:val="nextPage"/>
          <w:pgSz w:w="11906" w:h="16838"/>
          <w:pgMar w:left="1418" w:right="851" w:gutter="0" w:header="0" w:top="1134" w:footer="0" w:bottom="1134"/>
          <w:pgNumType w:fmt="decimal"/>
          <w:formProt w:val="false"/>
          <w:titlePg/>
          <w:textDirection w:val="lrTb"/>
          <w:docGrid w:type="default" w:linePitch="381"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63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707"/>
        <w:gridCol w:w="1609"/>
        <w:gridCol w:w="1422"/>
        <w:gridCol w:w="842"/>
        <w:gridCol w:w="1175"/>
        <w:gridCol w:w="773"/>
        <w:gridCol w:w="983"/>
        <w:gridCol w:w="2121"/>
      </w:tblGrid>
      <w:tr>
        <w:trPr/>
        <w:tc>
          <w:tcPr>
            <w:tcW w:w="70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201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98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21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511"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95" w:leader="none"/>
              </w:tabs>
              <w:spacing w:lineRule="auto" w:line="240"/>
              <w:ind w:hanging="0"/>
              <w:rPr>
                <w:b/>
                <w:sz w:val="24"/>
                <w:szCs w:val="24"/>
              </w:rPr>
            </w:pPr>
            <w:r>
              <w:rPr>
                <w:b/>
                <w:sz w:val="24"/>
                <w:szCs w:val="24"/>
              </w:rPr>
              <w:t>Непредвиденные работы и затраты (лимит)</w:t>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r>
        <w:trPr/>
        <w:tc>
          <w:tcPr>
            <w:tcW w:w="7511"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21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5"/>
          <w:footerReference w:type="default" r:id="rId6"/>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left="4395" w:firstLine="708"/>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СВОДНАЯ СМЕТА 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left="5103" w:hanging="0"/>
        <w:jc w:val="left"/>
        <w:rPr>
          <w:sz w:val="22"/>
          <w:szCs w:val="22"/>
        </w:rPr>
      </w:pPr>
      <w:r>
        <w:rPr>
          <w:sz w:val="22"/>
          <w:szCs w:val="22"/>
        </w:rPr>
        <w:t xml:space="preserve">                                                                   </w:t>
      </w:r>
      <w:r>
        <w:rPr>
          <w:sz w:val="22"/>
          <w:szCs w:val="22"/>
        </w:rPr>
        <w:t>Приложение № 4.1</w:t>
      </w:r>
    </w:p>
    <w:p>
      <w:pPr>
        <w:pStyle w:val="Normal"/>
        <w:spacing w:lineRule="auto" w:line="240"/>
        <w:ind w:left="5103" w:hanging="0"/>
        <w:jc w:val="left"/>
        <w:rPr>
          <w:sz w:val="22"/>
          <w:szCs w:val="22"/>
        </w:rPr>
      </w:pPr>
      <w:bookmarkStart w:id="39" w:name="_GoBack"/>
      <w:bookmarkEnd w:id="39"/>
      <w:r>
        <w:rPr>
          <w:sz w:val="22"/>
          <w:szCs w:val="22"/>
        </w:rPr>
        <w:t>к Договору подряда</w:t>
      </w:r>
    </w:p>
    <w:p>
      <w:pPr>
        <w:pStyle w:val="Normal"/>
        <w:spacing w:lineRule="auto" w:line="240"/>
        <w:ind w:left="5103" w:hanging="0"/>
        <w:jc w:val="left"/>
        <w:rPr>
          <w:sz w:val="22"/>
          <w:szCs w:val="22"/>
        </w:rPr>
      </w:pPr>
      <w:r>
        <w:rPr>
          <w:sz w:val="22"/>
          <w:szCs w:val="22"/>
        </w:rPr>
        <w:t xml:space="preserve">от «____» __________ 20 _ г. № ____ </w:t>
      </w:r>
    </w:p>
    <w:p>
      <w:pPr>
        <w:pStyle w:val="13"/>
        <w:jc w:val="left"/>
        <w:rPr>
          <w:i/>
          <w:i/>
        </w:rPr>
      </w:pPr>
      <w:r>
        <w:rPr>
          <w:i/>
        </w:rPr>
      </w:r>
    </w:p>
    <w:p>
      <w:pPr>
        <w:pStyle w:val="13"/>
        <w:jc w:val="left"/>
        <w:rPr>
          <w:i/>
          <w:i/>
        </w:rPr>
      </w:pPr>
      <w:r>
        <w:rPr>
          <w:i/>
        </w:rPr>
      </w:r>
    </w:p>
    <w:p>
      <w:pPr>
        <w:pStyle w:val="13"/>
        <w:rPr>
          <w:sz w:val="24"/>
          <w:szCs w:val="24"/>
        </w:rPr>
      </w:pPr>
      <w:r>
        <w:rPr>
          <w:iCs/>
          <w:sz w:val="24"/>
          <w:szCs w:val="24"/>
        </w:rPr>
        <w:t>ФОРМА</w:t>
      </w:r>
    </w:p>
    <w:p>
      <w:pPr>
        <w:pStyle w:val="13"/>
        <w:rPr>
          <w:i/>
          <w:i/>
          <w:iCs/>
          <w:sz w:val="24"/>
          <w:szCs w:val="24"/>
        </w:rPr>
      </w:pPr>
      <w:r>
        <w:rPr>
          <w:sz w:val="24"/>
          <w:szCs w:val="24"/>
        </w:rPr>
        <w:t>Акта сдачи-приемки места производства Работ и / или</w:t>
      </w:r>
      <w:r>
        <w:rPr>
          <w:sz w:val="24"/>
        </w:rPr>
        <w:t xml:space="preserve"> места (помещения) для складирования Материально-технических </w:t>
      </w:r>
      <w:r>
        <w:rPr>
          <w:sz w:val="24"/>
          <w:szCs w:val="24"/>
        </w:rPr>
        <w:t>ресурсов и оборудования</w:t>
      </w:r>
    </w:p>
    <w:p>
      <w:pPr>
        <w:pStyle w:val="Normal"/>
        <w:spacing w:lineRule="auto" w:line="240"/>
        <w:ind w:hanging="0"/>
        <w:rPr>
          <w:sz w:val="24"/>
          <w:szCs w:val="24"/>
        </w:rPr>
      </w:pPr>
      <w:r>
        <w:rPr>
          <w:sz w:val="24"/>
          <w:szCs w:val="24"/>
        </w:rPr>
      </w:r>
    </w:p>
    <w:tbl>
      <w:tblPr>
        <w:tblW w:w="49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444"/>
      </w:tblGrid>
      <w:tr>
        <w:trPr/>
        <w:tc>
          <w:tcPr>
            <w:tcW w:w="9444"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b w:val="false"/>
                <w:i/>
                <w:i/>
                <w:iCs/>
              </w:rPr>
            </w:pPr>
            <w:r>
              <w:rPr>
                <w:b w:val="false"/>
              </w:rPr>
              <w:t>сдачи-приемки места производства Работ</w:t>
            </w:r>
            <w:r>
              <w:rPr/>
              <w:t xml:space="preserve"> </w:t>
            </w:r>
            <w:r>
              <w:rPr>
                <w:b w:val="false"/>
              </w:rPr>
              <w:t>и / или места (помещения) для складирования Материально-технических ресурсов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 и оборудования</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переданы / передано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и оборудования: 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rPr>
                <w:sz w:val="22"/>
                <w:szCs w:val="22"/>
              </w:rPr>
            </w:pPr>
            <w:r>
              <w:rPr>
                <w:sz w:val="22"/>
                <w:szCs w:val="22"/>
              </w:rPr>
            </w:r>
          </w:p>
          <w:tbl>
            <w:tblPr>
              <w:tblW w:w="9276"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38"/>
              <w:gridCol w:w="4637"/>
            </w:tblGrid>
            <w:tr>
              <w:trPr/>
              <w:tc>
                <w:tcPr>
                  <w:tcW w:w="4638" w:type="dxa"/>
                  <w:tcBorders/>
                </w:tcPr>
                <w:p>
                  <w:pPr>
                    <w:pStyle w:val="Normal"/>
                    <w:widowControl w:val="false"/>
                    <w:spacing w:lineRule="auto" w:line="240"/>
                    <w:ind w:hanging="0"/>
                    <w:rPr>
                      <w:sz w:val="22"/>
                    </w:rPr>
                  </w:pPr>
                  <w:r>
                    <w:rPr>
                      <w:sz w:val="22"/>
                    </w:rPr>
                    <w:t>Заказчик:</w:t>
                  </w:r>
                </w:p>
              </w:tc>
              <w:tc>
                <w:tcPr>
                  <w:tcW w:w="4637" w:type="dxa"/>
                  <w:tcBorders/>
                </w:tcPr>
                <w:p>
                  <w:pPr>
                    <w:pStyle w:val="Normal"/>
                    <w:widowControl w:val="false"/>
                    <w:spacing w:lineRule="auto" w:line="240"/>
                    <w:ind w:hanging="0"/>
                    <w:rPr>
                      <w:sz w:val="22"/>
                    </w:rPr>
                  </w:pPr>
                  <w:r>
                    <w:rPr>
                      <w:sz w:val="22"/>
                    </w:rPr>
                    <w:t>Подрядчик:</w:t>
                  </w:r>
                </w:p>
              </w:tc>
            </w:tr>
            <w:tr>
              <w:trPr/>
              <w:tc>
                <w:tcPr>
                  <w:tcW w:w="4638"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637"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708" w:firstLine="708"/>
        <w:jc w:val="right"/>
        <w:rPr>
          <w:sz w:val="22"/>
          <w:szCs w:val="22"/>
        </w:rPr>
      </w:pPr>
      <w:r>
        <w:rPr>
          <w:sz w:val="22"/>
          <w:szCs w:val="22"/>
        </w:rPr>
      </w:r>
    </w:p>
    <w:p>
      <w:pPr>
        <w:pStyle w:val="Normal"/>
        <w:spacing w:lineRule="auto" w:line="240"/>
        <w:ind w:left="5103" w:hanging="0"/>
        <w:jc w:val="left"/>
        <w:rPr>
          <w:sz w:val="22"/>
          <w:szCs w:val="22"/>
        </w:rPr>
      </w:pPr>
      <w:r>
        <w:rPr>
          <w:sz w:val="22"/>
          <w:szCs w:val="22"/>
        </w:rPr>
        <w:t>Приложение № 4.2</w:t>
      </w:r>
    </w:p>
    <w:p>
      <w:pPr>
        <w:pStyle w:val="Normal"/>
        <w:spacing w:lineRule="auto" w:line="240"/>
        <w:ind w:left="5103" w:hanging="0"/>
        <w:jc w:val="left"/>
        <w:rPr>
          <w:sz w:val="22"/>
          <w:szCs w:val="22"/>
        </w:rPr>
      </w:pPr>
      <w:r>
        <w:rPr>
          <w:sz w:val="22"/>
          <w:szCs w:val="22"/>
        </w:rPr>
        <w:t>к Договору подряда</w:t>
      </w:r>
    </w:p>
    <w:p>
      <w:pPr>
        <w:pStyle w:val="Normal"/>
        <w:spacing w:lineRule="auto" w:line="240"/>
        <w:ind w:left="5103" w:hanging="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637"/>
      </w:tblGrid>
      <w:tr>
        <w:trPr/>
        <w:tc>
          <w:tcPr>
            <w:tcW w:w="9637"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41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05"/>
              <w:gridCol w:w="4705"/>
            </w:tblGrid>
            <w:tr>
              <w:trPr/>
              <w:tc>
                <w:tcPr>
                  <w:tcW w:w="4705" w:type="dxa"/>
                  <w:tcBorders/>
                </w:tcPr>
                <w:p>
                  <w:pPr>
                    <w:pStyle w:val="Normal"/>
                    <w:widowControl w:val="false"/>
                    <w:spacing w:lineRule="auto" w:line="240"/>
                    <w:ind w:hanging="0"/>
                    <w:rPr>
                      <w:bCs/>
                      <w:sz w:val="24"/>
                      <w:szCs w:val="24"/>
                    </w:rPr>
                  </w:pPr>
                  <w:r>
                    <w:rPr>
                      <w:bCs/>
                      <w:sz w:val="24"/>
                      <w:szCs w:val="24"/>
                    </w:rPr>
                    <w:t>Заказчик:</w:t>
                  </w:r>
                </w:p>
              </w:tc>
              <w:tc>
                <w:tcPr>
                  <w:tcW w:w="4705" w:type="dxa"/>
                  <w:tcBorders/>
                </w:tcPr>
                <w:p>
                  <w:pPr>
                    <w:pStyle w:val="Normal"/>
                    <w:widowControl w:val="false"/>
                    <w:spacing w:lineRule="auto" w:line="240"/>
                    <w:ind w:hanging="0"/>
                    <w:rPr>
                      <w:bCs/>
                      <w:sz w:val="24"/>
                      <w:szCs w:val="24"/>
                    </w:rPr>
                  </w:pPr>
                  <w:r>
                    <w:rPr>
                      <w:bCs/>
                      <w:sz w:val="24"/>
                      <w:szCs w:val="24"/>
                    </w:rPr>
                    <w:t>Подрядчик:</w:t>
                  </w:r>
                </w:p>
              </w:tc>
            </w:tr>
            <w:tr>
              <w:trPr/>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left="5103"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 xml:space="preserve"> </w:t>
      </w: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679"/>
        <w:gridCol w:w="2162"/>
        <w:gridCol w:w="1226"/>
        <w:gridCol w:w="1091"/>
        <w:gridCol w:w="939"/>
        <w:gridCol w:w="1279"/>
        <w:gridCol w:w="2260"/>
      </w:tblGrid>
      <w:tr>
        <w:trPr>
          <w:trHeight w:val="214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tcPr>
          <w:p>
            <w:pPr>
              <w:pStyle w:val="Normal"/>
              <w:pageBreakBefore/>
              <w:widowControl w:val="false"/>
              <w:snapToGrid w:val="false"/>
              <w:spacing w:lineRule="auto" w:line="240"/>
              <w:rPr>
                <w:b/>
                <w:bCs/>
                <w:szCs w:val="24"/>
              </w:rPr>
            </w:pPr>
            <w:r>
              <w:rPr>
                <w:b/>
                <w:bCs/>
                <w:szCs w:val="24"/>
              </w:rPr>
            </w:r>
          </w:p>
        </w:tc>
        <w:tc>
          <w:tcPr>
            <w:tcW w:w="4785" w:type="dxa"/>
            <w:tcBorders/>
          </w:tcPr>
          <w:p>
            <w:pPr>
              <w:pStyle w:val="Normal"/>
              <w:widowControl w:val="false"/>
              <w:shd w:val="clear" w:color="auto" w:fill="FFFFFF"/>
              <w:spacing w:lineRule="auto" w:line="240"/>
              <w:ind w:firstLine="352"/>
              <w:rPr>
                <w:bCs/>
                <w:sz w:val="22"/>
                <w:szCs w:val="22"/>
              </w:rPr>
            </w:pPr>
            <w:r>
              <w:rPr>
                <w:bCs/>
                <w:sz w:val="22"/>
                <w:szCs w:val="22"/>
              </w:rPr>
              <w:t>Приложение № 7</w:t>
            </w:r>
          </w:p>
          <w:p>
            <w:pPr>
              <w:pStyle w:val="Normal"/>
              <w:widowControl w:val="false"/>
              <w:shd w:val="clear" w:color="auto" w:fill="FFFFFF"/>
              <w:spacing w:lineRule="auto" w:line="240"/>
              <w:ind w:firstLine="352"/>
              <w:rPr>
                <w:bCs/>
                <w:sz w:val="22"/>
                <w:szCs w:val="22"/>
              </w:rPr>
            </w:pPr>
            <w:r>
              <w:rPr>
                <w:bCs/>
                <w:sz w:val="22"/>
                <w:szCs w:val="22"/>
              </w:rPr>
              <w:t xml:space="preserve">к Договору подряда </w:t>
            </w:r>
          </w:p>
          <w:p>
            <w:pPr>
              <w:pStyle w:val="Normal"/>
              <w:widowControl w:val="false"/>
              <w:shd w:val="clear" w:color="auto" w:fill="FFFFFF"/>
              <w:spacing w:lineRule="auto" w:line="240"/>
              <w:ind w:firstLine="352"/>
              <w:rPr>
                <w:bCs/>
                <w:sz w:val="22"/>
                <w:szCs w:val="22"/>
              </w:rPr>
            </w:pPr>
            <w:r>
              <w:rPr>
                <w:bCs/>
                <w:sz w:val="22"/>
                <w:szCs w:val="22"/>
              </w:rPr>
              <w:t>от «___» ________20__ г. № ___</w:t>
            </w:r>
          </w:p>
          <w:p>
            <w:pPr>
              <w:pStyle w:val="Normal"/>
              <w:widowControl w:val="false"/>
              <w:snapToGrid w:val="false"/>
              <w:spacing w:lineRule="auto" w:line="240"/>
              <w:rPr>
                <w:b/>
                <w:bCs/>
                <w:szCs w:val="24"/>
              </w:rPr>
            </w:pPr>
            <w:r>
              <w:rPr>
                <w:b/>
                <w:bCs/>
                <w:szCs w:val="24"/>
              </w:rPr>
            </w:r>
          </w:p>
        </w:tc>
      </w:tr>
    </w:tbl>
    <w:p>
      <w:pPr>
        <w:pStyle w:val="Normal"/>
        <w:shd w:val="clear" w:color="auto" w:fill="FFFFFF"/>
        <w:spacing w:lineRule="auto" w:line="240"/>
        <w:jc w:val="center"/>
        <w:rPr>
          <w:b/>
          <w:bCs/>
          <w:szCs w:val="24"/>
        </w:rPr>
      </w:pPr>
      <w:r>
        <w:rPr>
          <w:b/>
          <w:bCs/>
          <w:szCs w:val="24"/>
        </w:rPr>
        <w:t>Акт сдачи-приемки выполненных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98" w:type="dxa"/>
        <w:tblLayout w:type="fixed"/>
        <w:tblCellMar>
          <w:top w:w="0" w:type="dxa"/>
          <w:left w:w="10" w:type="dxa"/>
          <w:bottom w:w="0" w:type="dxa"/>
          <w:right w:w="10" w:type="dxa"/>
        </w:tblCellMar>
        <w:tblLook w:val="04a0" w:noVBand="1" w:noHBand="0" w:lastColumn="0" w:firstColumn="1" w:lastRow="0" w:firstRow="1"/>
      </w:tblPr>
      <w:tblGrid>
        <w:gridCol w:w="40"/>
        <w:gridCol w:w="10029"/>
      </w:tblGrid>
      <w:tr>
        <w:trPr/>
        <w:tc>
          <w:tcPr>
            <w:tcW w:w="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Cs/>
                <w:szCs w:val="24"/>
              </w:rPr>
            </w:pPr>
            <w:r>
              <w:rPr>
                <w:b/>
                <w:bCs/>
                <w:szCs w:val="24"/>
              </w:rPr>
            </w:r>
          </w:p>
        </w:tc>
        <w:tc>
          <w:tcPr>
            <w:tcW w:w="10029"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СДАЧИ-ПРЕМКИ ВЫПОЛНЕННЫХ РАБОТ №  _________</w:t>
            </w:r>
          </w:p>
          <w:tbl>
            <w:tblPr>
              <w:tblW w:w="9735"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30"/>
              <w:gridCol w:w="851"/>
              <w:gridCol w:w="2939"/>
              <w:gridCol w:w="1247"/>
              <w:gridCol w:w="228"/>
              <w:gridCol w:w="582"/>
              <w:gridCol w:w="1397"/>
              <w:gridCol w:w="1332"/>
              <w:gridCol w:w="1127"/>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1356"/>
                    <w:gridCol w:w="8168"/>
                    <w:gridCol w:w="66"/>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8"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66" w:type="dxa"/>
                        <w:tcBorders/>
                        <w:tcMar>
                          <w:top w:w="0" w:type="dxa"/>
                          <w:left w:w="0" w:type="dxa"/>
                          <w:right w:w="0" w:type="dxa"/>
                        </w:tcMar>
                      </w:tcPr>
                      <w:p>
                        <w:pPr>
                          <w:pStyle w:val="Normal"/>
                          <w:widowControl w:val="false"/>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95"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38"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3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939"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13"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30" w:type="dxa"/>
                  <w:tcBorders/>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851"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939"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47"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810"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397"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32"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127"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3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1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39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2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3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0" w:type="dxa"/>
                  <w:tcBorders/>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3790"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54"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451"/>
              <w:gridCol w:w="4049"/>
              <w:gridCol w:w="715"/>
              <w:gridCol w:w="339"/>
              <w:gridCol w:w="4166"/>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Заказчика:</w:t>
                  </w:r>
                </w:p>
              </w:tc>
              <w:tc>
                <w:tcPr>
                  <w:tcW w:w="715" w:type="dxa"/>
                  <w:vMerge w:val="restart"/>
                  <w:tcBorders/>
                </w:tcPr>
                <w:p>
                  <w:pPr>
                    <w:pStyle w:val="Normal"/>
                    <w:widowControl w:val="false"/>
                    <w:snapToGrid w:val="false"/>
                    <w:spacing w:lineRule="auto" w:line="240"/>
                    <w:rPr>
                      <w:sz w:val="20"/>
                      <w:szCs w:val="20"/>
                    </w:rPr>
                  </w:pPr>
                  <w:r>
                    <w:rPr>
                      <w:sz w:val="20"/>
                      <w:szCs w:val="20"/>
                    </w:rPr>
                  </w:r>
                </w:p>
              </w:tc>
              <w:tc>
                <w:tcPr>
                  <w:tcW w:w="4505" w:type="dxa"/>
                  <w:gridSpan w:val="2"/>
                  <w:tcBorders/>
                </w:tcPr>
                <w:p>
                  <w:pPr>
                    <w:pStyle w:val="Normal"/>
                    <w:widowControl w:val="false"/>
                    <w:spacing w:lineRule="auto" w:line="240"/>
                    <w:rPr>
                      <w:sz w:val="20"/>
                      <w:szCs w:val="20"/>
                    </w:rPr>
                  </w:pPr>
                  <w:r>
                    <w:rPr>
                      <w:b/>
                      <w:bCs/>
                      <w:sz w:val="20"/>
                      <w:szCs w:val="20"/>
                    </w:rPr>
                    <w:t>Подрядчика:</w:t>
                  </w:r>
                </w:p>
              </w:tc>
            </w:tr>
            <w:tr>
              <w:trPr>
                <w:cantSplit w:val="true"/>
              </w:trPr>
              <w:tc>
                <w:tcPr>
                  <w:tcW w:w="4500" w:type="dxa"/>
                  <w:gridSpan w:val="2"/>
                  <w:tcBorders/>
                </w:tcPr>
                <w:p>
                  <w:pPr>
                    <w:pStyle w:val="Normal"/>
                    <w:widowControl w:val="false"/>
                    <w:snapToGrid w:val="false"/>
                    <w:spacing w:lineRule="auto" w:line="240"/>
                    <w:rPr>
                      <w:b/>
                      <w:bCs/>
                      <w:sz w:val="20"/>
                      <w:szCs w:val="20"/>
                    </w:rPr>
                  </w:pPr>
                  <w:r>
                    <w:rPr>
                      <w:b/>
                      <w:bCs/>
                      <w:sz w:val="20"/>
                      <w:szCs w:val="20"/>
                    </w:rPr>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5" w:type="dxa"/>
                  <w:gridSpan w:val="2"/>
                  <w:tcBorders/>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restart"/>
                  <w:tcBorders/>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cPr>
                <w:p>
                  <w:pPr>
                    <w:pStyle w:val="Normal"/>
                    <w:widowControl w:val="false"/>
                    <w:snapToGrid w:val="false"/>
                    <w:spacing w:lineRule="auto" w:line="240"/>
                    <w:rPr>
                      <w:sz w:val="20"/>
                      <w:szCs w:val="20"/>
                    </w:rPr>
                  </w:pPr>
                  <w:r>
                    <w:rPr>
                      <w:sz w:val="20"/>
                      <w:szCs w:val="20"/>
                    </w:rPr>
                  </w:r>
                </w:p>
              </w:tc>
              <w:tc>
                <w:tcPr>
                  <w:tcW w:w="715"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878"/>
        <w:gridCol w:w="4758"/>
      </w:tblGrid>
      <w:tr>
        <w:trPr/>
        <w:tc>
          <w:tcPr>
            <w:tcW w:w="4878"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ind w:firstLine="34"/>
              <w:rPr>
                <w:b/>
                <w:sz w:val="24"/>
                <w:szCs w:val="24"/>
              </w:rPr>
            </w:pPr>
            <w:r>
              <w:rPr>
                <w:b/>
                <w:sz w:val="24"/>
                <w:szCs w:val="24"/>
              </w:rPr>
              <w:t>__________/____________________________</w:t>
            </w:r>
          </w:p>
        </w:tc>
        <w:tc>
          <w:tcPr>
            <w:tcW w:w="4758"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w:t>
            </w:r>
          </w:p>
          <w:p>
            <w:pPr>
              <w:pStyle w:val="Normal"/>
              <w:widowControl w:val="false"/>
              <w:spacing w:lineRule="auto" w:line="240"/>
              <w:ind w:hanging="0"/>
              <w:rPr>
                <w:b/>
                <w:sz w:val="24"/>
                <w:szCs w:val="24"/>
              </w:rPr>
            </w:pPr>
            <w:r>
              <w:rPr>
                <w:b/>
                <w:sz w:val="24"/>
                <w:szCs w:val="24"/>
              </w:rPr>
              <w:t>______________</w:t>
            </w:r>
          </w:p>
        </w:tc>
      </w:tr>
    </w:tbl>
    <w:p>
      <w:pPr>
        <w:pStyle w:val="Normal"/>
        <w:spacing w:lineRule="auto" w:line="240"/>
        <w:ind w:left="5103" w:hanging="0"/>
        <w:rPr>
          <w:sz w:val="22"/>
          <w:szCs w:val="22"/>
        </w:rPr>
      </w:pPr>
      <w:r>
        <w:br w:type="page"/>
      </w:r>
      <w:r>
        <w:rPr>
          <w:sz w:val="22"/>
          <w:szCs w:val="22"/>
        </w:rPr>
        <w:t xml:space="preserve"> </w:t>
      </w:r>
    </w:p>
    <w:p>
      <w:pPr>
        <w:pStyle w:val="Normal"/>
        <w:shd w:val="clear" w:color="auto" w:fill="FFFFFF"/>
        <w:spacing w:lineRule="auto" w:line="240"/>
        <w:ind w:left="3119" w:firstLine="1984"/>
        <w:rPr>
          <w:bCs/>
          <w:sz w:val="22"/>
          <w:szCs w:val="22"/>
        </w:rPr>
      </w:pPr>
      <w:r>
        <w:rPr>
          <w:bCs/>
          <w:sz w:val="22"/>
          <w:szCs w:val="22"/>
        </w:rPr>
        <w:t>Приложение № 8</w:t>
      </w:r>
    </w:p>
    <w:p>
      <w:pPr>
        <w:pStyle w:val="Normal"/>
        <w:shd w:val="clear" w:color="auto" w:fill="FFFFFF"/>
        <w:spacing w:lineRule="auto" w:line="240"/>
        <w:ind w:left="3119" w:firstLine="1984"/>
        <w:rPr>
          <w:bCs/>
          <w:sz w:val="22"/>
          <w:szCs w:val="22"/>
        </w:rPr>
      </w:pPr>
      <w:r>
        <w:rPr>
          <w:bCs/>
          <w:sz w:val="22"/>
          <w:szCs w:val="22"/>
        </w:rPr>
        <w:t xml:space="preserve">к Договору подряда </w:t>
      </w:r>
    </w:p>
    <w:p>
      <w:pPr>
        <w:pStyle w:val="Normal"/>
        <w:shd w:val="clear" w:color="auto" w:fill="FFFFFF"/>
        <w:spacing w:lineRule="auto" w:line="240"/>
        <w:ind w:left="3119" w:firstLine="1984"/>
        <w:rPr>
          <w:bCs/>
          <w:sz w:val="22"/>
          <w:szCs w:val="22"/>
        </w:rPr>
      </w:pPr>
      <w:r>
        <w:rPr>
          <w:bCs/>
          <w:sz w:val="22"/>
          <w:szCs w:val="22"/>
        </w:rPr>
        <w:t>от «___» ________20__ г. № ___</w:t>
      </w:r>
    </w:p>
    <w:p>
      <w:pPr>
        <w:pStyle w:val="Normal"/>
        <w:shd w:val="clear" w:color="auto" w:fill="FFFFFF"/>
        <w:spacing w:lineRule="auto" w:line="240"/>
        <w:ind w:left="3119" w:firstLine="2551"/>
        <w:rPr>
          <w:bCs/>
          <w:sz w:val="22"/>
          <w:szCs w:val="22"/>
        </w:rPr>
      </w:pPr>
      <w:r>
        <w:rPr>
          <w:bCs/>
          <w:sz w:val="22"/>
          <w:szCs w:val="22"/>
        </w:rPr>
      </w:r>
    </w:p>
    <w:p>
      <w:pPr>
        <w:pStyle w:val="Normal"/>
        <w:shd w:val="clear" w:color="auto" w:fill="FFFFFF"/>
        <w:spacing w:lineRule="auto" w:line="240"/>
        <w:ind w:left="3119" w:firstLine="2551"/>
        <w:rPr>
          <w:bCs/>
          <w:sz w:val="22"/>
          <w:szCs w:val="22"/>
        </w:rPr>
      </w:pPr>
      <w:r>
        <w:rPr>
          <w:bCs/>
          <w:sz w:val="22"/>
          <w:szCs w:val="22"/>
        </w:rPr>
      </w:r>
    </w:p>
    <w:p>
      <w:pPr>
        <w:pStyle w:val="Normal"/>
        <w:spacing w:lineRule="auto" w:line="24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jc w:val="right"/>
        <w:rPr>
          <w:sz w:val="16"/>
          <w:szCs w:val="16"/>
        </w:rPr>
      </w:pPr>
      <w:r>
        <w:rPr>
          <w:sz w:val="16"/>
          <w:szCs w:val="16"/>
        </w:rPr>
      </w:r>
    </w:p>
    <w:tbl>
      <w:tblPr>
        <w:tblW w:w="5000" w:type="pct"/>
        <w:jc w:val="center"/>
        <w:tblInd w:w="0" w:type="dxa"/>
        <w:tblLayout w:type="fixed"/>
        <w:tblCellMar>
          <w:top w:w="0" w:type="dxa"/>
          <w:left w:w="28" w:type="dxa"/>
          <w:bottom w:w="0" w:type="dxa"/>
          <w:right w:w="28" w:type="dxa"/>
        </w:tblCellMar>
        <w:tblLook w:val="04a0" w:noVBand="1" w:noHBand="0" w:lastColumn="0" w:firstColumn="1" w:lastRow="0" w:firstRow="1"/>
      </w:tblPr>
      <w:tblGrid>
        <w:gridCol w:w="202"/>
        <w:gridCol w:w="541"/>
        <w:gridCol w:w="795"/>
        <w:gridCol w:w="935"/>
        <w:gridCol w:w="1582"/>
        <w:gridCol w:w="1942"/>
        <w:gridCol w:w="1852"/>
        <w:gridCol w:w="669"/>
        <w:gridCol w:w="1118"/>
      </w:tblGrid>
      <w:tr>
        <w:trPr>
          <w:trHeight w:val="1327" w:hRule="atLeast"/>
        </w:trPr>
        <w:tc>
          <w:tcPr>
            <w:tcW w:w="2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Предмет договора</w:t>
            </w:r>
          </w:p>
        </w:tc>
        <w:tc>
          <w:tcPr>
            <w:tcW w:w="7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9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15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19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Валюта (ОКВ)</w:t>
            </w:r>
          </w:p>
        </w:tc>
        <w:tc>
          <w:tcPr>
            <w:tcW w:w="1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r>
          </w:p>
        </w:tc>
        <w:tc>
          <w:tcPr>
            <w:tcW w:w="7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3</w:t>
            </w:r>
          </w:p>
        </w:tc>
        <w:tc>
          <w:tcPr>
            <w:tcW w:w="15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4</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5</w:t>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6</w:t>
            </w:r>
          </w:p>
        </w:tc>
        <w:tc>
          <w:tcPr>
            <w:tcW w:w="6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8</w:t>
            </w:r>
          </w:p>
        </w:tc>
      </w:tr>
      <w:tr>
        <w:trPr/>
        <w:tc>
          <w:tcPr>
            <w:tcW w:w="2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9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5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6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45"/>
        <w:gridCol w:w="1119"/>
        <w:gridCol w:w="759"/>
        <w:gridCol w:w="754"/>
        <w:gridCol w:w="848"/>
        <w:gridCol w:w="1399"/>
        <w:gridCol w:w="1214"/>
        <w:gridCol w:w="846"/>
        <w:gridCol w:w="1852"/>
      </w:tblGrid>
      <w:tr>
        <w:trPr>
          <w:trHeight w:val="1289" w:hRule="atLeast"/>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8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13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rFonts w:eastAsia="Symbol" w:cs="Symbol" w:ascii="Symbol" w:hAnsi="Symbol"/>
                <w:sz w:val="16"/>
                <w:szCs w:val="16"/>
              </w:rPr>
              <w:footnoteReference w:customMarkFollows="1" w:id="31"/>
              <w:t></w:t>
            </w:r>
          </w:p>
        </w:tc>
        <w:tc>
          <w:tcPr>
            <w:tcW w:w="12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8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1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9</w:t>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10</w:t>
            </w:r>
          </w:p>
        </w:tc>
        <w:tc>
          <w:tcPr>
            <w:tcW w:w="7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7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12</w:t>
            </w:r>
          </w:p>
        </w:tc>
        <w:tc>
          <w:tcPr>
            <w:tcW w:w="8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13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8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16</w:t>
            </w:r>
          </w:p>
        </w:tc>
        <w:tc>
          <w:tcPr>
            <w:tcW w:w="1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17</w:t>
            </w:r>
          </w:p>
        </w:tc>
      </w:tr>
      <w:tr>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39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8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77"/>
        <w:gridCol w:w="1168"/>
        <w:gridCol w:w="792"/>
        <w:gridCol w:w="785"/>
        <w:gridCol w:w="883"/>
        <w:gridCol w:w="787"/>
        <w:gridCol w:w="1263"/>
        <w:gridCol w:w="692"/>
        <w:gridCol w:w="791"/>
        <w:gridCol w:w="592"/>
        <w:gridCol w:w="504"/>
        <w:gridCol w:w="502"/>
      </w:tblGrid>
      <w:tr>
        <w:trPr>
          <w:trHeight w:val="1266" w:hRule="atLeast"/>
        </w:trPr>
        <w:tc>
          <w:tcPr>
            <w:tcW w:w="8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1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Почтовый индекс</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7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2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6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ОКТМО</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ОКОПФ</w:t>
            </w:r>
          </w:p>
        </w:tc>
        <w:tc>
          <w:tcPr>
            <w:tcW w:w="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5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5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8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18</w:t>
            </w:r>
          </w:p>
        </w:tc>
        <w:tc>
          <w:tcPr>
            <w:tcW w:w="11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19</w:t>
            </w:r>
          </w:p>
        </w:tc>
        <w:tc>
          <w:tcPr>
            <w:tcW w:w="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20</w:t>
            </w:r>
          </w:p>
        </w:tc>
        <w:tc>
          <w:tcPr>
            <w:tcW w:w="7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21</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7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26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6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25</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26</w:t>
            </w:r>
          </w:p>
        </w:tc>
        <w:tc>
          <w:tcPr>
            <w:tcW w:w="5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27</w:t>
            </w:r>
          </w:p>
        </w:tc>
        <w:tc>
          <w:tcPr>
            <w:tcW w:w="50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28</w:t>
            </w:r>
          </w:p>
        </w:tc>
        <w:tc>
          <w:tcPr>
            <w:tcW w:w="50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8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1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8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c>
          <w:tcPr>
            <w:tcW w:w="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5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5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rPr>
          <w:sz w:val="16"/>
          <w:szCs w:val="16"/>
        </w:rPr>
      </w:pPr>
      <w:r>
        <w:rPr>
          <w:sz w:val="16"/>
          <w:szCs w:val="16"/>
        </w:rPr>
        <w:t>Генеральный директор ________________________________</w:t>
      </w:r>
    </w:p>
    <w:p>
      <w:pPr>
        <w:pStyle w:val="Normal"/>
        <w:widowControl w:val="false"/>
        <w:spacing w:lineRule="auto" w:line="24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7513"/>
        <w:gridCol w:w="8788"/>
      </w:tblGrid>
      <w:tr>
        <w:trPr/>
        <w:tc>
          <w:tcPr>
            <w:tcW w:w="7513" w:type="dxa"/>
            <w:tcBorders/>
          </w:tcPr>
          <w:p>
            <w:pPr>
              <w:pStyle w:val="Normal"/>
              <w:widowControl w:val="false"/>
              <w:spacing w:lineRule="auto" w:line="240"/>
              <w:rPr>
                <w:b/>
                <w:sz w:val="16"/>
                <w:szCs w:val="16"/>
              </w:rPr>
            </w:pPr>
            <w:r>
              <w:rPr>
                <w:b/>
                <w:sz w:val="16"/>
                <w:szCs w:val="16"/>
              </w:rPr>
              <w:t>Заказчик:</w:t>
            </w:r>
          </w:p>
        </w:tc>
        <w:tc>
          <w:tcPr>
            <w:tcW w:w="8788" w:type="dxa"/>
            <w:tcBorders/>
          </w:tcPr>
          <w:p>
            <w:pPr>
              <w:pStyle w:val="Normal"/>
              <w:widowControl w:val="false"/>
              <w:spacing w:lineRule="auto" w:line="240"/>
              <w:rPr>
                <w:b/>
                <w:sz w:val="16"/>
                <w:szCs w:val="16"/>
              </w:rPr>
            </w:pPr>
            <w:r>
              <w:rPr>
                <w:b/>
                <w:sz w:val="16"/>
                <w:szCs w:val="16"/>
              </w:rPr>
              <w:t>Подрядчик:</w:t>
            </w:r>
          </w:p>
        </w:tc>
      </w:tr>
    </w:tbl>
    <w:p>
      <w:pPr>
        <w:sectPr>
          <w:headerReference w:type="default" r:id="rId7"/>
          <w:headerReference w:type="first" r:id="rId8"/>
          <w:footerReference w:type="default" r:id="rId9"/>
          <w:footerReference w:type="first" r:id="rId10"/>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sz w:val="22"/>
          <w:szCs w:val="22"/>
        </w:rPr>
      </w:pPr>
      <w:r>
        <w:rPr>
          <w:sz w:val="22"/>
          <w:szCs w:val="22"/>
        </w:rPr>
        <w:t>Пр</w:t>
      </w:r>
      <w:r>
        <w:rPr>
          <w:sz w:val="22"/>
          <w:szCs w:val="22"/>
        </w:rPr>
        <w:t>иложение № 10</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rPr>
        <w:t>«</w:t>
      </w:r>
      <w:r>
        <w:rPr>
          <w:b/>
          <w:bCs/>
        </w:rPr>
        <w:t>Регламент взаимодействия в ходе исполнения процессов управления проектом»</w:t>
      </w:r>
    </w:p>
    <w:sectPr>
      <w:headerReference w:type="default" r:id="rId11"/>
      <w:headerReference w:type="first" r:id="rId12"/>
      <w:footerReference w:type="default" r:id="rId13"/>
      <w:footerReference w:type="first" r:id="rId1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0"/>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Включается в текст Договора в случае, если в предмет Договора входит указанный вид работ.</w:t>
      </w:r>
    </w:p>
  </w:footnote>
  <w:footnote w:id="3">
    <w:p>
      <w:pPr>
        <w:pStyle w:val="FootnoteText"/>
        <w:jc w:val="both"/>
        <w:rPr/>
      </w:pPr>
      <w:r>
        <w:rPr>
          <w:rStyle w:val="Style6"/>
        </w:rPr>
        <w:footnoteRef/>
      </w:r>
      <w:r>
        <w:rPr/>
        <w:t xml:space="preserve"> </w:t>
      </w:r>
      <w:r>
        <w:rPr/>
        <w:t>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4">
    <w:p>
      <w:pPr>
        <w:pStyle w:val="FootnoteText"/>
        <w:jc w:val="both"/>
        <w:rPr/>
      </w:pPr>
      <w:r>
        <w:rPr>
          <w:rStyle w:val="Style6"/>
        </w:rPr>
        <w:footnoteRef/>
      </w:r>
      <w:r>
        <w:rPr/>
        <w:t xml:space="preserve"> </w:t>
      </w:r>
      <w:r>
        <w:rPr/>
        <w:t>Состав Работ корректируется исходя из содержания Технического задания.</w:t>
      </w:r>
    </w:p>
  </w:footnote>
  <w:footnote w:id="5">
    <w:p>
      <w:pPr>
        <w:pStyle w:val="FootnoteText"/>
        <w:jc w:val="both"/>
        <w:rPr/>
      </w:pPr>
      <w:r>
        <w:rPr>
          <w:rStyle w:val="Style6"/>
        </w:rPr>
        <w:footnoteRef/>
      </w:r>
      <w:r>
        <w:rPr/>
        <w:t xml:space="preserve"> </w:t>
      </w:r>
      <w:r>
        <w:rPr/>
        <w:t>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6">
    <w:p>
      <w:pPr>
        <w:pStyle w:val="Normal"/>
        <w:spacing w:lineRule="auto" w:line="240"/>
        <w:ind w:hanging="0"/>
        <w:rPr/>
      </w:pPr>
      <w:r>
        <w:rPr>
          <w:rStyle w:val="Style6"/>
        </w:rPr>
        <w:footnoteRef/>
      </w:r>
      <w:r>
        <w:rPr>
          <w:sz w:val="20"/>
          <w:szCs w:val="20"/>
        </w:rPr>
        <w:t xml:space="preserve"> </w:t>
      </w:r>
      <w:r>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
  </w:footnote>
  <w:footnote w:id="7">
    <w:p>
      <w:pPr>
        <w:pStyle w:val="FootnoteText"/>
        <w:jc w:val="both"/>
        <w:rPr/>
      </w:pPr>
      <w:r>
        <w:rPr>
          <w:rStyle w:val="Style6"/>
        </w:rPr>
        <w:footnoteRef/>
      </w:r>
      <w:r>
        <w:rPr/>
        <w:t xml:space="preserve"> </w:t>
      </w:r>
      <w:r>
        <w:rPr/>
        <w:t>Необходимость участия Подрядчика в конкретном СРО определяется в зависимости от состава Работ, выполняемых по Договору.</w:t>
      </w:r>
    </w:p>
  </w:footnote>
  <w:footnote w:id="8">
    <w:p>
      <w:pPr>
        <w:pStyle w:val="FootnoteText"/>
        <w:jc w:val="both"/>
        <w:rPr/>
      </w:pPr>
      <w:r>
        <w:rPr>
          <w:rStyle w:val="Style6"/>
        </w:rPr>
        <w:footnoteRef/>
      </w:r>
      <w:r>
        <w:rPr/>
        <w:t xml:space="preserve"> </w:t>
      </w:r>
      <w:r>
        <w:rPr/>
        <w:t>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pPr>
        <w:pStyle w:val="FootnoteText"/>
        <w:tabs>
          <w:tab w:val="clear" w:pos="708"/>
          <w:tab w:val="left" w:pos="284" w:leader="none"/>
        </w:tabs>
        <w:jc w:val="both"/>
        <w:rPr/>
      </w:pPr>
      <w:r>
        <w:rPr/>
        <w:t>-</w:t>
        <w:tab/>
        <w:t>при выполнении работ в отношении строительства, реконструкции, не являющихся объектами капитального строительства;</w:t>
      </w:r>
    </w:p>
    <w:p>
      <w:pPr>
        <w:pStyle w:val="FootnoteText"/>
        <w:tabs>
          <w:tab w:val="clear" w:pos="708"/>
          <w:tab w:val="left" w:pos="284" w:leader="none"/>
        </w:tabs>
        <w:jc w:val="both"/>
        <w:rPr/>
      </w:pPr>
      <w:r>
        <w:rPr/>
        <w:t>-</w:t>
        <w:tab/>
        <w:t>при выполнении работ в отношении строительства, реконструкции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9">
    <w:p>
      <w:pPr>
        <w:pStyle w:val="FootnoteText"/>
        <w:jc w:val="both"/>
        <w:rPr/>
      </w:pPr>
      <w:r>
        <w:rPr>
          <w:rStyle w:val="Style6"/>
        </w:rPr>
        <w:footnoteRef/>
      </w:r>
      <w:r>
        <w:rPr/>
        <w:t xml:space="preserve"> </w:t>
      </w:r>
      <w:r>
        <w:rPr/>
        <w:t>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10">
    <w:p>
      <w:pPr>
        <w:pStyle w:val="FootnoteText"/>
        <w:jc w:val="both"/>
        <w:rPr/>
      </w:pPr>
      <w:r>
        <w:rPr>
          <w:rStyle w:val="Style6"/>
        </w:rPr>
        <w:footnoteRef/>
      </w:r>
      <w:r>
        <w:rPr/>
        <w:t xml:space="preserve"> </w:t>
      </w:r>
      <w:r>
        <w:rPr/>
        <w:t>Пункт 2.4.3 включается в Договор в случае, если цена Договора превышает 100 000 000 (сто миллионов) рублей без учета НДС (включительно)</w:t>
      </w:r>
    </w:p>
  </w:footnote>
  <w:footnote w:id="11">
    <w:p>
      <w:pPr>
        <w:pStyle w:val="FootnoteText"/>
        <w:jc w:val="both"/>
        <w:rPr/>
      </w:pPr>
      <w:r>
        <w:rPr>
          <w:rStyle w:val="Style6"/>
        </w:rPr>
        <w:footnoteRef/>
      </w:r>
      <w:r>
        <w:rPr/>
        <w:t xml:space="preserve"> </w:t>
      </w:r>
      <w:r>
        <w:rPr>
          <w:highlight w:val="lightGray"/>
        </w:rPr>
        <w:t>Пункты 2.5.1, 2.5.2, 2.5.3 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12">
    <w:p>
      <w:pPr>
        <w:pStyle w:val="FootnoteText"/>
        <w:jc w:val="both"/>
        <w:rPr/>
      </w:pPr>
      <w:r>
        <w:rPr>
          <w:rStyle w:val="Style6"/>
        </w:rPr>
        <w:footnoteRef/>
      </w:r>
      <w:r>
        <w:rPr/>
        <w:t xml:space="preserve"> </w:t>
      </w:r>
      <w:r>
        <w:rPr/>
        <w:t>Пункт включается в Договор в случае, если к Договору прикладывается полный комплект сметной документации.</w:t>
      </w:r>
    </w:p>
  </w:footnote>
  <w:footnote w:id="13">
    <w:p>
      <w:pPr>
        <w:pStyle w:val="FootnoteText"/>
        <w:jc w:val="both"/>
        <w:rPr>
          <w:highlight w:val="yellow"/>
        </w:rPr>
      </w:pPr>
      <w:r>
        <w:rPr>
          <w:rStyle w:val="Style6"/>
        </w:rPr>
        <w:footnoteRef/>
      </w:r>
      <w:r>
        <w:rPr/>
        <w:t xml:space="preserve"> </w:t>
      </w:r>
      <w:r>
        <w:rPr>
          <w:highlight w:val="lightGray"/>
        </w:rPr>
        <w:t>Условие включается в случае, когда на дату заключения Договора сметы по одному или нескольким Этапам работ отсутствуют</w:t>
      </w:r>
      <w:r>
        <w:rPr/>
        <w:t>.</w:t>
      </w:r>
      <w:r>
        <w:rPr>
          <w:highlight w:val="yellow"/>
        </w:rPr>
        <w:t xml:space="preserve"> </w:t>
      </w:r>
    </w:p>
  </w:footnote>
  <w:footnote w:id="14">
    <w:p>
      <w:pPr>
        <w:pStyle w:val="FootnoteText"/>
        <w:jc w:val="both"/>
        <w:rPr/>
      </w:pPr>
      <w:r>
        <w:rPr>
          <w:rStyle w:val="Style6"/>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5">
    <w:p>
      <w:pPr>
        <w:pStyle w:val="FootnoteText"/>
        <w:jc w:val="both"/>
        <w:rPr/>
      </w:pPr>
      <w:r>
        <w:rPr>
          <w:rStyle w:val="Style6"/>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6">
    <w:p>
      <w:pPr>
        <w:pStyle w:val="FootnoteText"/>
        <w:jc w:val="both"/>
        <w:rPr/>
      </w:pPr>
      <w:r>
        <w:rPr>
          <w:rStyle w:val="Style6"/>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7">
    <w:p>
      <w:pPr>
        <w:pStyle w:val="FootnoteText"/>
        <w:jc w:val="both"/>
        <w:rPr/>
      </w:pPr>
      <w:r>
        <w:rPr>
          <w:rStyle w:val="Style6"/>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8">
    <w:p>
      <w:pPr>
        <w:pStyle w:val="FootnoteText"/>
        <w:jc w:val="both"/>
        <w:rPr/>
      </w:pPr>
      <w:r>
        <w:rPr>
          <w:rStyle w:val="Style6"/>
        </w:rPr>
        <w:footnoteRef/>
      </w:r>
      <w:r>
        <w:rPr/>
        <w:t xml:space="preserve"> </w:t>
      </w:r>
      <w:r>
        <w:rPr/>
        <w:t>Пункт включается в текст Договора в случае, если в отношении разрабатываемой Проектной документации и Результата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19">
    <w:p>
      <w:pPr>
        <w:pStyle w:val="FootnoteText"/>
        <w:jc w:val="both"/>
        <w:rPr/>
      </w:pPr>
      <w:r>
        <w:rPr>
          <w:rStyle w:val="Style6"/>
        </w:rPr>
        <w:footnoteRef/>
      </w:r>
      <w:r>
        <w:rPr/>
        <w:t xml:space="preserve"> </w:t>
      </w:r>
      <w:r>
        <w:rPr/>
        <w:t xml:space="preserve">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w:t>
      </w:r>
      <w:r>
        <w:rPr>
          <w:bCs/>
        </w:rPr>
        <w:t>Календарном графике выполнения Работ (Приложение № 2 к Договору) справочно за рамками Этапов Работ.</w:t>
      </w:r>
    </w:p>
  </w:footnote>
  <w:footnote w:id="20">
    <w:p>
      <w:pPr>
        <w:pStyle w:val="FootnoteText"/>
        <w:jc w:val="both"/>
        <w:rPr/>
      </w:pPr>
      <w:r>
        <w:rPr>
          <w:rStyle w:val="Style6"/>
        </w:rPr>
        <w:footnoteRef/>
      </w:r>
      <w:r>
        <w:rPr/>
        <w:t xml:space="preserve"> </w:t>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1">
    <w:p>
      <w:pPr>
        <w:pStyle w:val="FootnoteText"/>
        <w:jc w:val="both"/>
        <w:rPr/>
      </w:pPr>
      <w:r>
        <w:rPr>
          <w:rStyle w:val="Style6"/>
        </w:rPr>
        <w:footnoteRef/>
      </w:r>
      <w:r>
        <w:rPr/>
        <w:t xml:space="preserve"> </w:t>
      </w:r>
      <w:r>
        <w:rPr/>
        <w:t>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22">
    <w:p>
      <w:pPr>
        <w:pStyle w:val="FootnoteText"/>
        <w:jc w:val="both"/>
        <w:rPr/>
      </w:pPr>
      <w:r>
        <w:rPr>
          <w:rStyle w:val="Style6"/>
        </w:rPr>
        <w:footnoteRef/>
      </w:r>
      <w:r>
        <w:rPr/>
        <w:t xml:space="preserve"> </w:t>
      </w:r>
      <w:r>
        <w:rPr/>
        <w:t>В отношении Банковской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23">
    <w:p>
      <w:pPr>
        <w:pStyle w:val="FootnoteText"/>
        <w:jc w:val="both"/>
        <w:rPr/>
      </w:pPr>
      <w:r>
        <w:rPr>
          <w:rStyle w:val="Style6"/>
        </w:rPr>
        <w:footnoteRef/>
      </w:r>
      <w:r>
        <w:rPr/>
        <w:t xml:space="preserve"> </w:t>
      </w:r>
      <w:r>
        <w:rPr>
          <w:highlight w:val="lightGray"/>
        </w:rPr>
        <w:t>Необходимость включения данного пункта определяется в соответствии с приказом ПАО «РусГидро» от 18.12.2017 № 881 «Об утверждении Регламента управления проектами ТПиР».</w:t>
      </w:r>
    </w:p>
  </w:footnote>
  <w:footnote w:id="24">
    <w:p>
      <w:pPr>
        <w:pStyle w:val="FootnoteText"/>
        <w:jc w:val="both"/>
        <w:rPr/>
      </w:pPr>
      <w:r>
        <w:rPr>
          <w:rStyle w:val="Style6"/>
        </w:rPr>
        <w:footnoteRef/>
      </w:r>
      <w:r>
        <w:rPr/>
        <w:t xml:space="preserve"> </w:t>
      </w:r>
      <w:r>
        <w:rPr/>
        <w:t>В случае если членство в СРО требуется в соответствии с законодательством Российской Федерации.</w:t>
      </w:r>
    </w:p>
  </w:footnote>
  <w:footnote w:id="25">
    <w:p>
      <w:pPr>
        <w:pStyle w:val="FootnoteText"/>
        <w:jc w:val="both"/>
        <w:rPr/>
      </w:pPr>
      <w:r>
        <w:rPr>
          <w:rStyle w:val="Style6"/>
        </w:rPr>
        <w:footnoteRef/>
      </w:r>
      <w:r>
        <w:rPr/>
        <w:t xml:space="preserve"> </w:t>
      </w:r>
      <w:r>
        <w:rPr/>
        <w:t>В случае если членство в СРО требуется в соответствии с законодательством Российской Федерации.</w:t>
      </w:r>
    </w:p>
  </w:footnote>
  <w:footnote w:id="26">
    <w:p>
      <w:pPr>
        <w:pStyle w:val="FootnoteText"/>
        <w:jc w:val="both"/>
        <w:rPr/>
      </w:pPr>
      <w:r>
        <w:rPr>
          <w:rStyle w:val="Style6"/>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27">
    <w:p>
      <w:pPr>
        <w:pStyle w:val="FootnoteText"/>
        <w:jc w:val="both"/>
        <w:rPr/>
      </w:pPr>
      <w:r>
        <w:rPr>
          <w:rStyle w:val="Style6"/>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28">
    <w:p>
      <w:pPr>
        <w:pStyle w:val="FootnoteText"/>
        <w:jc w:val="both"/>
        <w:rPr/>
      </w:pPr>
      <w:r>
        <w:rPr>
          <w:rStyle w:val="Style6"/>
        </w:rPr>
        <w:footnoteRef/>
      </w:r>
      <w:r>
        <w:rPr/>
        <w:t xml:space="preserve"> </w:t>
      </w:r>
      <w:r>
        <w:rPr/>
        <w:t>В случае если членство в СРО требуется в соответствии с законодательством Российской Федерации.</w:t>
      </w:r>
    </w:p>
  </w:footnote>
  <w:footnote w:id="29">
    <w:p>
      <w:pPr>
        <w:pStyle w:val="FootnoteText"/>
        <w:jc w:val="both"/>
        <w:rPr/>
      </w:pPr>
      <w:r>
        <w:rPr>
          <w:rStyle w:val="Style6"/>
        </w:rPr>
        <w:footnoteRef/>
      </w:r>
      <w:r>
        <w:rPr/>
        <w:t xml:space="preserve"> </w:t>
      </w:r>
      <w:r>
        <w:rPr/>
        <w:t>С учетом комментариев к пункту 2.3.10 Договора.</w:t>
      </w:r>
    </w:p>
  </w:footnote>
  <w:footnote w:id="30">
    <w:p>
      <w:pPr>
        <w:pStyle w:val="FootnoteText"/>
        <w:rPr/>
      </w:pPr>
      <w:r>
        <w:rPr>
          <w:rStyle w:val="Style6"/>
        </w:rPr>
        <w:footnoteRef/>
      </w:r>
      <w:r>
        <w:rPr/>
        <w:t xml:space="preserve"> </w:t>
      </w:r>
      <w:r>
        <w:rPr/>
        <w:t>Абзацы второй и третий включаются в текст договора в случае заключения договора в электронной форме.</w:t>
      </w:r>
    </w:p>
  </w:footnote>
  <w:footnote w:id="31">
    <w:p>
      <w:pPr>
        <w:pStyle w:val="Normal"/>
        <w:spacing w:lineRule="auto" w:line="240"/>
        <w:rPr>
          <w:sz w:val="20"/>
          <w:szCs w:val="20"/>
        </w:rPr>
      </w:pPr>
      <w:r>
        <w:rPr>
          <w:rStyle w:val="Style6"/>
        </w:rPr>
        <w:t></w:t>
      </w:r>
      <w:r>
        <w:rPr>
          <w:rStyle w:val="Style6"/>
        </w:rPr>
        <w:t></w:t>
      </w:r>
      <w:r>
        <w:rPr>
          <w:sz w:val="20"/>
          <w:szCs w:val="20"/>
        </w:rPr>
        <w:t xml:space="preserve"> </w:t>
      </w:r>
      <w:r>
        <w:rPr>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961" w:hanging="432"/>
      </w:pPr>
      <w:rPr>
        <w:u w:val="none"/>
        <w:b w:val="false"/>
      </w:rPr>
    </w:lvl>
    <w:lvl w:ilvl="2">
      <w:start w:val="1"/>
      <w:numFmt w:val="decimal"/>
      <w:lvlText w:val="%1.%2.%3."/>
      <w:lvlJc w:val="left"/>
      <w:pPr>
        <w:tabs>
          <w:tab w:val="num" w:pos="0"/>
        </w:tabs>
        <w:ind w:left="50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u w:val="none"/>
        <w:b w:val="false"/>
      </w:rPr>
    </w:lvl>
    <w:lvl w:ilvl="2">
      <w:start w:val="1"/>
      <w:numFmt w:val="bullet"/>
      <w:lvlText w:val=""/>
      <w:lvlJc w:val="left"/>
      <w:pPr>
        <w:tabs>
          <w:tab w:val="num" w:pos="0"/>
        </w:tabs>
        <w:ind w:left="504" w:hanging="504"/>
      </w:pPr>
      <w:rPr>
        <w:rFonts w:ascii="Symbol" w:hAnsi="Symbol" w:cs="Symbol" w:hint="default"/>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Pr/>
  </w:style>
  <w:style w:type="character" w:styleId="FootnoteReference">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3"/>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customStyle="1">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qFormat/>
    <w:rPr/>
  </w:style>
  <w:style w:type="character" w:styleId="EndnoteReference">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b4870"/>
    <w:rPr>
      <w:sz w:val="24"/>
      <w:szCs w:val="24"/>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rPr>
  </w:style>
  <w:style w:type="paragraph" w:styleId="Caption1">
    <w:name w:val="caption1"/>
    <w:basedOn w:val="Normal"/>
    <w:next w:val="Normal"/>
    <w:qFormat/>
    <w:rsid w:val="00ae674d"/>
    <w:pPr>
      <w:widowControl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19" w:customStyle="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1"/>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paragraph" w:styleId="ConsPlusNonformat" w:customStyle="1">
    <w:name w:val="ConsPlusNonformat"/>
    <w:qFormat/>
    <w:rsid w:val="00a82882"/>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6">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82C152A5-9607-4CF4-9D62-A494D4DC9A45}">
  <ds:schemaRefs>
    <ds:schemaRef ds:uri="http://schemas.openxmlformats.org/officeDocument/2006/bibliography"/>
  </ds:schemaRefs>
</ds:datastoreItem>
</file>

<file path=customXml/itemProps5.xml><?xml version="1.0" encoding="utf-8"?>
<ds:datastoreItem xmlns:ds="http://schemas.openxmlformats.org/officeDocument/2006/customXml" ds:itemID="{311809B1-CEC8-47A4-ADC9-CC7928B2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Application>AlterOffice/3.3.0.4$Linux_X86_64 LibreOffice_project/fa736b558560ebea8f92088bfd7720f4b3918f3f</Application>
  <AppVersion>15.0000</AppVersion>
  <Pages>45</Pages>
  <Words>15397</Words>
  <Characters>110558</Characters>
  <CharactersWithSpaces>125535</CharactersWithSpaces>
  <Paragraphs>785</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2022-11-01T07:42:00Z</dcterms:created>
  <dc:creator>UK VoHEC</dc:creator>
  <dc:description/>
  <dc:language>ru-RU</dc:language>
  <cp:lastModifiedBy>molchanova_mn</cp:lastModifiedBy>
  <cp:lastPrinted>2024-01-29T06:45:00Z</cp:lastPrinted>
  <dcterms:modified xsi:type="dcterms:W3CDTF">2024-03-26T11:49:39Z</dcterms:modified>
  <cp:revision>23</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